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42.png" ContentType="image/png"/>
  <Override PartName="/word/media/image23.png" ContentType="image/png"/>
  <Override PartName="/word/media/image22.png" ContentType="image/png"/>
  <Override PartName="/word/media/image21.jpeg" ContentType="image/jpeg"/>
  <Override PartName="/word/media/image29.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8.png" ContentType="image/png"/>
  <Override PartName="/word/media/image20.png" ContentType="image/png"/>
  <Override PartName="/word/media/image11.png" ContentType="image/png"/>
  <Override PartName="/word/media/image40.png" ContentType="image/png"/>
  <Override PartName="/word/media/image9.png" ContentType="image/png"/>
  <Override PartName="/word/media/image39.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8.png" ContentType="image/png"/>
  <Override PartName="/word/media/image8.png" ContentType="image/png"/>
  <Override PartName="/word/media/image13.png" ContentType="image/png"/>
  <Override PartName="/word/media/image37.png" ContentType="image/png"/>
  <Override PartName="/word/media/image41.jpeg" ContentType="image/jpeg"/>
  <Override PartName="/word/media/image36.png" ContentType="image/png"/>
  <Override PartName="/word/media/image6.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DOI: 10.32604/fdmp.202x.0xxxxx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120" w:after="12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Natural convection of a power-law nanofluid in a square cavity with a vertical fin</w:t>
      </w:r>
      <w:bookmarkStart w:id="0" w:name="_Hlk54099856"/>
      <w:bookmarkEnd w:id="0"/>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Amira M’hadbi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vertAlign w:val="superscript"/>
        </w:rPr>
        <w:t xml:space="preserve">, </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Mohammed El Ganaoui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rPr>
        <w:t>, Haïkel Ben Hamed</w:t>
      </w:r>
      <w:r>
        <w:rPr>
          <w:rFonts w:ascii="Minion Pro" w:hAnsi="Minion Pro"/>
          <w:i w:val="false"/>
          <w:color w:val="5B9BD5" w:themeColor="accent5"/>
          <w:sz w:val="22"/>
          <w:szCs w:val="22"/>
          <w:vertAlign w:val="superscript"/>
        </w:rPr>
        <w:t>3</w:t>
      </w:r>
      <w:r>
        <w:rPr>
          <w:rFonts w:ascii="Minion Pro" w:hAnsi="Minion Pro"/>
          <w:i w:val="false"/>
          <w:color w:val="000000" w:themeColor="text1"/>
          <w:sz w:val="22"/>
          <w:szCs w:val="22"/>
        </w:rPr>
        <w:t>, Amenallah Guizani</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and Khalid Chtaibi</w:t>
      </w:r>
      <w:r>
        <w:rPr>
          <w:rFonts w:ascii="Minion Pro" w:hAnsi="Minion Pro"/>
          <w:i w:val="false"/>
          <w:color w:val="5B9BD5" w:themeColor="accent5"/>
          <w:sz w:val="22"/>
          <w:szCs w:val="22"/>
          <w:vertAlign w:val="superscript"/>
        </w:rPr>
        <w:t>3</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 xml:space="preserve"> LERMAB, Department of Transition and Energy Efficiency Professions, IUT H Poincaré de Longwy, University of Lorraine, Longwy, 54400,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 xml:space="preserve"> LPT, Center for Energy Research and Technologies (Borj Cedria, 2084), University of Tunis El Manar, Tunis, 1068, Tunisia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LTI, Department of Mechanical Engineering and Production, IUT, University of Picardie Jules-Verne, Amiens, 80025,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Amira M’hadbi; Email: Amira.m-hadbi@univ-lorraine.fr</w:t>
      </w:r>
      <w:r>
        <w:rPr>
          <w:rStyle w:val="InternetLink"/>
          <w:rFonts w:ascii="Minion Pro" w:hAnsi="Minion Pro"/>
          <w:color w:val="000000" w:themeColor="text1"/>
          <w:sz w:val="18"/>
          <w:szCs w:val="18"/>
          <w:u w:val="none"/>
        </w:rPr>
        <w:t xml:space="preserve"> </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February 2024    Accepted: 17 May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601C7EEA">
                <wp:extent cx="5538470" cy="4319270"/>
                <wp:effectExtent l="0" t="0" r="6350" b="0"/>
                <wp:docPr id="1" name="Shape1"/>
                <a:graphic xmlns:a="http://schemas.openxmlformats.org/drawingml/2006/main">
                  <a:graphicData uri="http://schemas.microsoft.com/office/word/2010/wordprocessingShape">
                    <wps:wsp>
                      <wps:cNvSpPr/>
                      <wps:spPr>
                        <a:xfrm>
                          <a:off x="0" y="0"/>
                          <a:ext cx="5537880" cy="431856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color w:val="000000"/>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color w:val="000000"/>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color w:val="000000"/>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color w:val="000000"/>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color w:val="000000"/>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color w:val="000000"/>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color w:val="000000"/>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color w:val="000000"/>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color w:val="000000"/>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color w:val="000000"/>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color w:val="000000"/>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wps:txbx>
                      <wps:bodyPr>
                        <a:spAutoFit/>
                      </wps:bodyPr>
                    </wps:wsp>
                  </a:graphicData>
                </a:graphic>
              </wp:inline>
            </w:drawing>
          </mc:Choice>
          <mc:Fallback>
            <w:pict>
              <v:rect id="shape_0" ID="Shape1" fillcolor="#f2f2f2" stroked="f" style="position:absolute;margin-left:0pt;margin-top:-340.1pt;width:436pt;height:340pt;mso-position-vertical:top" wp14:anchorId="601C7EEA">
                <w10:wrap type="square"/>
                <v:fill o:detectmouseclick="t" type="solid" color2="#0d0d0d"/>
                <v:stroke color="#3465a4" weight="9360" joinstyle="round" endcap="flat"/>
                <v:textbo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color w:val="000000"/>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color w:val="000000"/>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color w:val="000000"/>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color w:val="000000"/>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color w:val="000000"/>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color w:val="000000"/>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color w:val="000000"/>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color w:val="000000"/>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color w:val="000000"/>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color w:val="000000"/>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color w:val="000000"/>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v:textbox>
              </v:rect>
            </w:pict>
          </mc:Fallback>
        </mc:AlternateContent>
      </w:r>
      <w:bookmarkStart w:id="1" w:name="_Hlk92447203"/>
    </w:p>
    <w:tbl>
      <w:tblPr>
        <w:tblW w:w="8721" w:type="dxa"/>
        <w:jc w:val="left"/>
        <w:tblInd w:w="4"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widowControl w:val="false"/>
        <w:snapToGrid w:val="false"/>
        <w:jc w:val="left"/>
        <w:rPr>
          <w:rStyle w:val="InternetLink"/>
          <w:color w:val="000000" w:themeColor="text1"/>
          <w:sz w:val="18"/>
          <w:szCs w:val="18"/>
        </w:rPr>
      </w:pPr>
      <w:r>
        <w:rPr>
          <w:color w:val="000000" w:themeColor="text1"/>
          <w:sz w:val="18"/>
          <w:szCs w:val="18"/>
        </w:rPr>
      </w:r>
    </w:p>
    <w:p>
      <w:pPr>
        <w:pStyle w:val="Normal"/>
        <w:ind w:right="1418" w:hanging="0"/>
        <w:rPr>
          <w:b/>
          <w:b/>
          <w:bCs/>
          <w:color w:val="000000" w:themeColor="text1"/>
        </w:rPr>
      </w:pPr>
      <w:bookmarkEnd w:id="1"/>
      <w:r>
        <w:rPr>
          <w:b/>
          <w:bCs/>
          <w:color w:val="000000" w:themeColor="text1"/>
        </w:rPr>
        <w:t>Nomenclature</w:t>
      </w:r>
    </w:p>
    <w:p>
      <w:pPr>
        <w:pStyle w:val="Normal"/>
        <w:ind w:right="1418" w:hanging="0"/>
        <w:rPr>
          <w:rFonts w:ascii="Times New Roman" w:hAnsi="Times New Roman" w:cs="Times New Roman" w:asciiTheme="majorBidi" w:cstheme="majorBidi" w:hAnsiTheme="majorBidi"/>
        </w:rPr>
      </w:pPr>
      <w:r>
        <w:rPr/>
      </w:r>
      <m:oMath xmlns:m="http://schemas.openxmlformats.org/officeDocument/2006/math">
        <m:r>
          <w:rPr>
            <w:rFonts w:ascii="Cambria Math" w:hAnsi="Cambria Math"/>
          </w:rPr>
          <m:t xml:space="preserve">Ar</m:t>
        </m:r>
      </m:oMath>
      <w:r>
        <w:rPr/>
        <w:t xml:space="preserve">      </w:t>
      </w:r>
      <w:r>
        <w:rPr/>
        <w:t>Aspect ratio</w:t>
      </w:r>
      <w:bookmarkStart w:id="2" w:name="_Hlk165366474"/>
      <w:bookmarkEnd w:id="2"/>
    </w:p>
    <w:p>
      <w:pPr>
        <w:pStyle w:val="Normal"/>
        <w:ind w:right="1418" w:hanging="0"/>
        <w:rPr>
          <w:color w:val="000000" w:themeColor="text1"/>
        </w:rPr>
      </w:pPr>
      <w:r>
        <w:rPr/>
      </w:r>
      <m:oMath xmlns:m="http://schemas.openxmlformats.org/officeDocument/2006/math">
        <m:r>
          <w:rPr>
            <w:rFonts w:ascii="Cambria Math" w:hAnsi="Cambria Math"/>
          </w:rPr>
          <m:t xml:space="preserve">b</m:t>
        </m:r>
      </m:oMath>
      <w:r>
        <w:rPr>
          <w:color w:val="000000" w:themeColor="text1"/>
        </w:rPr>
        <w:t xml:space="preserve">      </w:t>
      </w:r>
      <w:r>
        <w:rPr>
          <w:color w:val="000000" w:themeColor="text1"/>
        </w:rPr>
        <w:t>Fin’s dimension</w:t>
      </w:r>
      <w:r>
        <w:rPr>
          <w:rFonts w:cs="Times New Roman" w:cstheme="majorBidi"/>
        </w:rPr>
        <w:t xml:space="preserve">,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rPr>
        <w:t xml:space="preserve">     </w:t>
      </w:r>
      <w:r>
        <w:rPr/>
        <w:t>Specific heat at constant pressure</w:t>
      </w:r>
      <w:r>
        <w:rPr>
          <w:rFonts w:cs="Times New Roman" w:cstheme="majorBidi"/>
        </w:rPr>
        <w:t xml:space="preserve">, </w:t>
      </w:r>
      <w:r>
        <w:rPr/>
      </w:r>
      <m:oMath xmlns:m="http://schemas.openxmlformats.org/officeDocument/2006/math"/>
      <w:r>
        <w:rPr>
          <w:rFonts w:cs="Times New Roman" w:cstheme="majorBidi"/>
        </w:rPr>
        <w:t>·</w:t>
      </w:r>
      <w:r>
        <w:rPr/>
      </w:r>
      <m:oMath xmlns:m="http://schemas.openxmlformats.org/officeDocument/2006/math">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r>
        <w:rPr>
          <w:rFonts w:cs="Times New Roman" w:cstheme="majorBidi"/>
        </w:rPr>
        <w:t>)</w:t>
      </w:r>
    </w:p>
    <w:p>
      <w:pPr>
        <w:pStyle w:val="Normal"/>
        <w:ind w:right="1418" w:hanging="0"/>
        <w:rPr>
          <w:color w:val="000000" w:themeColor="text1"/>
        </w:rPr>
      </w:pPr>
      <w:r>
        <w:rPr/>
      </w:r>
      <m:oMath xmlns:m="http://schemas.openxmlformats.org/officeDocument/2006/math">
        <m:r>
          <w:rPr>
            <w:rFonts w:ascii="Cambria Math" w:hAnsi="Cambria Math"/>
          </w:rPr>
          <m:t xml:space="preserve">g</m:t>
        </m:r>
      </m:oMath>
      <w:r>
        <w:rPr>
          <w:color w:val="000000" w:themeColor="text1"/>
        </w:rPr>
        <w:t xml:space="preserve">      </w:t>
      </w:r>
      <w:r>
        <w:rPr>
          <w:rFonts w:cs="Times New Roman" w:cstheme="majorBidi"/>
        </w:rPr>
        <w:t xml:space="preserve">Gravitational acceleration,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r>
          <w:rPr>
            <w:rFonts w:ascii="Cambria Math" w:hAnsi="Cambria Math"/>
          </w:rPr>
          <m:t xml:space="preserve">k</m:t>
        </m:r>
      </m:oMath>
      <w:r>
        <w:rPr>
          <w:color w:val="000000" w:themeColor="text1"/>
        </w:rPr>
        <w:t xml:space="preserve">      </w:t>
      </w:r>
      <w:r>
        <w:rPr>
          <w:rFonts w:cs="Times New Roman" w:cstheme="majorBidi"/>
        </w:rPr>
        <w:t xml:space="preserve">Thermal conductivity, </w:t>
      </w:r>
      <w:r>
        <w:rPr/>
      </w:r>
      <m:oMath xmlns:m="http://schemas.openxmlformats.org/officeDocument/2006/math">
        <m:d>
          <m:dPr>
            <m:begChr m:val="("/>
            <m:sepChr m:val="|"/>
            <m:endChr m:val=")"/>
          </m:dPr>
          <m:e>
            <m:r>
              <w:rPr>
                <w:rFonts w:ascii="Cambria Math" w:hAnsi="Cambria Math"/>
              </w:rPr>
              <m:t xml:space="preserve">W</m:t>
            </m:r>
            <m:r>
              <w:rPr>
                <w:rFonts w:ascii="Cambria Math" w:hAnsi="Cambria Math"/>
              </w:rPr>
              <m:t xml:space="preserve">.</m:t>
            </m:r>
            <m:r>
              <w:rPr>
                <w:rFonts w:ascii="Cambria Math" w:hAnsi="Cambria Math"/>
              </w:rPr>
              <m:t xml:space="preserve">m</m:t>
            </m:r>
          </m:e>
          <m:e>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oMath>
    </w:p>
    <w:p>
      <w:pPr>
        <w:pStyle w:val="Normal"/>
        <w:ind w:right="1418" w:hanging="0"/>
        <w:rPr>
          <w:color w:val="000000" w:themeColor="text1"/>
        </w:rPr>
      </w:pPr>
      <w:r>
        <w:rPr/>
      </w:r>
      <m:oMath xmlns:m="http://schemas.openxmlformats.org/officeDocument/2006/math">
        <m:r>
          <w:rPr>
            <w:rFonts w:ascii="Cambria Math" w:hAnsi="Cambria Math"/>
          </w:rPr>
          <m:t xml:space="preserve">L</m:t>
        </m:r>
      </m:oMath>
      <w:bookmarkStart w:id="3" w:name="_Hlk165295235"/>
      <w:r>
        <w:rPr>
          <w:color w:val="000000" w:themeColor="text1"/>
        </w:rPr>
        <w:t xml:space="preserve">      </w:t>
      </w:r>
      <w:bookmarkEnd w:id="3"/>
      <w:r>
        <w:rPr>
          <w:color w:val="000000" w:themeColor="text1"/>
        </w:rPr>
        <w:t xml:space="preserve">Cavity length,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M</w:t>
      </w:r>
      <w:r>
        <w:rPr>
          <w:color w:val="000000" w:themeColor="text1"/>
        </w:rPr>
        <w:t xml:space="preserve">     </w:t>
      </w:r>
      <w:r>
        <w:rPr/>
        <w:t>The consistency coefficient</w:t>
      </w:r>
    </w:p>
    <w:p>
      <w:pPr>
        <w:pStyle w:val="Normal"/>
        <w:ind w:right="1418" w:hanging="0"/>
        <w:rPr/>
      </w:pPr>
      <w:r>
        <w:rPr/>
      </w:r>
      <m:oMath xmlns:m="http://schemas.openxmlformats.org/officeDocument/2006/math">
        <m:r>
          <w:rPr>
            <w:rFonts w:ascii="Cambria Math" w:hAnsi="Cambria Math"/>
          </w:rPr>
          <m:t xml:space="preserve">n</m:t>
        </m:r>
      </m:oMath>
      <w:r>
        <w:rPr>
          <w:color w:val="000000" w:themeColor="text1"/>
        </w:rPr>
        <w:t xml:space="preserve">      </w:t>
      </w:r>
      <w:r>
        <w:rPr/>
        <w:t>Power law index</w:t>
      </w:r>
    </w:p>
    <w:p>
      <w:pPr>
        <w:pStyle w:val="Normal"/>
        <w:ind w:right="1418" w:hanging="0"/>
        <w:rPr/>
      </w:pPr>
      <w:r>
        <w:rPr/>
        <w:t>Nu</w:t>
      </w:r>
      <w:r>
        <w:rPr>
          <w:color w:val="000000" w:themeColor="text1"/>
        </w:rPr>
        <w:t xml:space="preserve">     </w:t>
      </w:r>
      <w:r>
        <w:rPr/>
        <w:t xml:space="preserve">Nusselt number </w:t>
      </w:r>
    </w:p>
    <w:p>
      <w:pPr>
        <w:pStyle w:val="Normal"/>
        <w:ind w:right="1418" w:hanging="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w:t>
      </w:r>
      <w:r>
        <w:rPr/>
        <w:t>Mean Nusselt number</w:t>
      </w:r>
    </w:p>
    <w:p>
      <w:pPr>
        <w:pStyle w:val="Normal"/>
        <w:ind w:right="1418" w:hanging="0"/>
        <w:rPr/>
      </w:pPr>
      <w:r>
        <w:rPr/>
        <w:t>P</w:t>
      </w:r>
      <w:r>
        <w:rPr>
          <w:color w:val="000000" w:themeColor="text1"/>
        </w:rPr>
        <w:t xml:space="preserve">      </w:t>
      </w:r>
      <w:r>
        <w:rPr/>
        <w:t>Dimensionless pressure</w:t>
      </w:r>
    </w:p>
    <w:p>
      <w:pPr>
        <w:pStyle w:val="Normal"/>
        <w:ind w:right="1418" w:hanging="0"/>
        <w:rPr/>
      </w:pPr>
      <w:r>
        <w:rPr/>
        <w:t>p</w:t>
      </w:r>
      <w:r>
        <w:rPr>
          <w:color w:val="000000" w:themeColor="text1"/>
        </w:rPr>
        <w:t xml:space="preserve">      </w:t>
      </w:r>
      <w:r>
        <w:rPr/>
        <w:t xml:space="preserve">Pressure, </w:t>
      </w:r>
      <w:r>
        <w:rPr/>
      </w:r>
      <m:oMath xmlns:m="http://schemas.openxmlformats.org/officeDocument/2006/math">
        <m:d>
          <m:dPr>
            <m:begChr m:val="("/>
            <m:endChr m:val=")"/>
          </m:dPr>
          <m:e>
            <m:r>
              <w:rPr>
                <w:rFonts w:ascii="Cambria Math" w:hAnsi="Cambria Math"/>
              </w:rPr>
              <m:t xml:space="preserve">Pa</m:t>
            </m:r>
          </m:e>
        </m:d>
      </m:oMath>
    </w:p>
    <w:p>
      <w:pPr>
        <w:pStyle w:val="Normal"/>
        <w:ind w:right="1418" w:hanging="0"/>
        <w:rPr/>
      </w:pPr>
      <w:r>
        <w:rPr/>
        <w:t>Ra</w:t>
      </w:r>
      <w:r>
        <w:rPr>
          <w:color w:val="000000" w:themeColor="text1"/>
        </w:rPr>
        <w:t xml:space="preserve">     </w:t>
      </w:r>
      <w:r>
        <w:rPr/>
        <w:t>Rayleigh number</w:t>
      </w:r>
    </w:p>
    <w:p>
      <w:pPr>
        <w:pStyle w:val="Normal"/>
        <w:ind w:right="1418" w:hanging="0"/>
        <w:rPr/>
      </w:pPr>
      <w:r>
        <w:rPr/>
        <w:t>Pr</w:t>
      </w:r>
      <w:r>
        <w:rPr>
          <w:color w:val="000000" w:themeColor="text1"/>
        </w:rPr>
        <w:t xml:space="preserve">     </w:t>
      </w:r>
      <w:r>
        <w:rPr/>
        <w:t>Prandtl number</w:t>
      </w:r>
    </w:p>
    <w:p>
      <w:pPr>
        <w:pStyle w:val="Normal"/>
        <w:ind w:right="1418" w:hanging="0"/>
        <w:rPr/>
      </w:pPr>
      <w:r>
        <w:rPr/>
        <w:t>T</w:t>
      </w:r>
      <w:r>
        <w:rPr>
          <w:color w:val="000000" w:themeColor="text1"/>
        </w:rPr>
        <w:t xml:space="preserve">      </w:t>
      </w:r>
      <w:r>
        <w:rPr/>
        <w:t xml:space="preserve">Temperature, </w:t>
      </w:r>
      <w:r>
        <w:rPr/>
      </w:r>
      <m:oMath xmlns:m="http://schemas.openxmlformats.org/officeDocument/2006/math">
        <m:d>
          <m:dPr>
            <m:begChr m:val="("/>
            <m:endChr m:val=")"/>
          </m:dPr>
          <m:e>
            <m:r>
              <w:rPr>
                <w:rFonts w:ascii="Cambria Math" w:hAnsi="Cambria Math"/>
              </w:rPr>
              <m:t xml:space="preserve">K</m:t>
            </m:r>
          </m:e>
        </m:d>
      </m:oMath>
    </w:p>
    <w:p>
      <w:pPr>
        <w:pStyle w:val="Normal"/>
        <w:ind w:right="1418" w:hanging="0"/>
        <w:rPr>
          <w:rFonts w:eastAsia="等线" w:eastAsiaTheme="minorEastAsia"/>
          <w:i/>
          <w:i/>
          <w:szCs w:val="22"/>
        </w:rPr>
      </w:pPr>
      <w:r>
        <w:rPr/>
        <w:t>u,v</w:t>
      </w:r>
      <w:r>
        <w:rPr>
          <w:color w:val="000000" w:themeColor="text1"/>
        </w:rPr>
        <w:t xml:space="preserve">     </w:t>
      </w:r>
      <w:r>
        <w:rPr/>
        <w:t xml:space="preserve">Velocity components,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e>
        </m:d>
      </m:oMath>
    </w:p>
    <w:p>
      <w:pPr>
        <w:pStyle w:val="Normal"/>
        <w:ind w:right="1418" w:hanging="0"/>
        <w:rPr/>
      </w:pPr>
      <w:r>
        <w:rPr/>
        <w:t>U,V</w:t>
      </w:r>
      <w:r>
        <w:rPr>
          <w:color w:val="000000" w:themeColor="text1"/>
        </w:rPr>
        <w:t xml:space="preserve">    </w:t>
      </w:r>
      <w:r>
        <w:rPr/>
        <w:t>Dimensionless velocity components</w:t>
      </w:r>
    </w:p>
    <w:p>
      <w:pPr>
        <w:pStyle w:val="Normal"/>
        <w:ind w:right="1418" w:hanging="0"/>
        <w:rPr/>
      </w:pPr>
      <w:r>
        <w:rPr/>
        <w:t>x,y</w:t>
      </w:r>
      <w:r>
        <w:rPr>
          <w:color w:val="000000" w:themeColor="text1"/>
        </w:rPr>
        <w:t xml:space="preserve">     </w:t>
      </w:r>
      <w:r>
        <w:rPr/>
        <w:t xml:space="preserve">Cartesian coordinates,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X,Y</w:t>
      </w:r>
      <w:r>
        <w:rPr>
          <w:color w:val="000000" w:themeColor="text1"/>
        </w:rPr>
        <w:t xml:space="preserve">    </w:t>
      </w:r>
      <w:r>
        <w:rPr/>
        <w:t>Dimensionless Cartesian coordinates</w:t>
      </w:r>
      <w:bookmarkStart w:id="4" w:name="_Hlk150844677"/>
      <w:bookmarkEnd w:id="4"/>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φ</w:t>
      </w:r>
      <w:r>
        <w:rPr>
          <w:color w:val="000000" w:themeColor="text1"/>
        </w:rPr>
        <w:t xml:space="preserve">       </w:t>
      </w:r>
      <w:r>
        <w:rPr>
          <w:rFonts w:eastAsia="Calibri" w:cs="Times New Roman" w:cstheme="majorBidi"/>
        </w:rPr>
        <w:t>Nanoparticle volume fraction</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β</w:t>
      </w:r>
      <w:r>
        <w:rPr>
          <w:color w:val="000000" w:themeColor="text1"/>
        </w:rPr>
        <w:t xml:space="preserve">       </w:t>
      </w:r>
      <w:r>
        <w:rPr>
          <w:rFonts w:eastAsia="Calibri" w:cs="Times New Roman" w:cstheme="majorBidi"/>
        </w:rPr>
        <w:t xml:space="preserve">Coefficient of volume expansion, </w:t>
      </w:r>
      <w:r>
        <w:rPr/>
      </w:r>
      <m:oMath xmlns:m="http://schemas.openxmlformats.org/officeDocument/2006/math">
        <m:r>
          <w:rPr>
            <w:rFonts w:ascii="Cambria Math" w:hAnsi="Cambria Math"/>
          </w:rPr>
          <m:t xml:space="preserve">1.</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τ</w:t>
      </w:r>
      <w:r>
        <w:rPr>
          <w:color w:val="000000" w:themeColor="text1"/>
        </w:rPr>
        <w:t xml:space="preserve">       </w:t>
      </w:r>
      <w:r>
        <w:rPr>
          <w:rFonts w:eastAsia="Calibri" w:cs="Times New Roman" w:cstheme="majorBidi"/>
        </w:rPr>
        <w:t>Shear stress, Pa</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ρ</w:t>
      </w:r>
      <w:r>
        <w:rPr>
          <w:color w:val="000000" w:themeColor="text1"/>
        </w:rPr>
        <w:t xml:space="preserve">       </w:t>
      </w:r>
      <w:r>
        <w:rPr>
          <w:rFonts w:eastAsia="Calibri" w:cs="Times New Roman" w:cstheme="majorBidi"/>
        </w:rPr>
        <w:t xml:space="preserve">Density, </w:t>
      </w:r>
      <w:r>
        <w:rPr/>
      </w:r>
      <m:oMath xmlns:m="http://schemas.openxmlformats.org/officeDocument/2006/math">
        <m:sSup>
          <m:e>
            <m:r>
              <w:rPr>
                <w:rFonts w:ascii="Cambria Math" w:hAnsi="Cambria Math"/>
              </w:rPr>
              <m:t xml:space="preserve">kg</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 xml:space="preserve">α </w:t>
      </w:r>
      <w:r>
        <w:rPr>
          <w:color w:val="000000" w:themeColor="text1"/>
        </w:rPr>
        <w:t xml:space="preserve">      </w:t>
      </w:r>
      <w:r>
        <w:rPr>
          <w:rFonts w:eastAsia="Calibri" w:cs="Times New Roman" w:cstheme="majorBidi"/>
        </w:rPr>
        <w:t xml:space="preserve">Thermal diffusivity,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µ</w:t>
      </w:r>
      <w:r>
        <w:rPr>
          <w:color w:val="000000" w:themeColor="text1"/>
        </w:rPr>
        <w:t xml:space="preserve">       </w:t>
      </w:r>
      <w:r>
        <w:rPr>
          <w:rFonts w:eastAsia="Calibri" w:cs="Times New Roman" w:cstheme="majorBidi"/>
        </w:rPr>
        <w:t xml:space="preserve">Dynamic viscosity,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2</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Ѳ</w:t>
      </w:r>
      <w:r>
        <w:rPr>
          <w:color w:val="000000" w:themeColor="text1"/>
        </w:rPr>
        <w:t xml:space="preserve">       </w:t>
      </w:r>
      <w:r>
        <w:rPr>
          <w:rFonts w:eastAsia="Calibri" w:cs="Times New Roman" w:cstheme="majorBidi"/>
        </w:rPr>
        <w:t xml:space="preserve">Dimensionless temperature </w:t>
      </w:r>
    </w:p>
    <w:p>
      <w:pPr>
        <w:pStyle w:val="Normal"/>
        <w:ind w:right="1418" w:hanging="0"/>
        <w:rPr>
          <w:rFonts w:ascii="Times New Roman" w:hAnsi="Times New Roman" w:eastAsia="Calibri" w:cs="Times New Roman" w:asciiTheme="majorBidi" w:cstheme="majorBidi" w:hAnsiTheme="majorBidi"/>
        </w:rPr>
      </w:pPr>
      <w:r>
        <w:rPr/>
      </w:r>
      <m:oMath xmlns:m="http://schemas.openxmlformats.org/officeDocument/2006/math">
        <m:r>
          <w:rPr>
            <w:rFonts w:ascii="Cambria Math" w:hAnsi="Cambria Math"/>
          </w:rPr>
          <m:t xml:space="preserve">δ</m:t>
        </m:r>
        <m:r>
          <w:rPr>
            <w:rFonts w:ascii="Cambria Math" w:hAnsi="Cambria Math"/>
          </w:rPr>
          <m:t xml:space="preserve">,</m:t>
        </m:r>
        <m:sSub>
          <m:e>
            <m:r>
              <w:rPr>
                <w:rFonts w:ascii="Cambria Math" w:hAnsi="Cambria Math"/>
              </w:rPr>
              <m:t xml:space="preserve">δ</m:t>
            </m:r>
          </m:e>
          <m:sub>
            <m:r>
              <w:rPr>
                <w:rFonts w:ascii="Cambria Math" w:hAnsi="Cambria Math"/>
              </w:rPr>
              <m:t xml:space="preserve">th</m:t>
            </m:r>
          </m:sub>
        </m:sSub>
      </m:oMath>
      <w:r>
        <w:rPr>
          <w:color w:val="000000" w:themeColor="text1"/>
        </w:rPr>
        <w:t xml:space="preserve">    </w:t>
      </w:r>
      <w:r>
        <w:rPr>
          <w:rFonts w:eastAsia="Calibri" w:cs="Times New Roman" w:cstheme="majorBidi"/>
        </w:rPr>
        <w:t>Velocity and thermal boundary-layer thickness, m</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ψ</w:t>
      </w:r>
      <w:r>
        <w:rPr>
          <w:color w:val="000000" w:themeColor="text1"/>
        </w:rPr>
        <w:t xml:space="preserve">       </w:t>
      </w:r>
      <w:r>
        <w:rPr>
          <w:rFonts w:eastAsia="Calibri" w:cs="Times New Roman" w:cstheme="majorBidi"/>
        </w:rPr>
        <w:t>Dimensionless stream function</w:t>
      </w:r>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c</m:t>
        </m:r>
      </m:oMath>
      <w:r>
        <w:rPr>
          <w:color w:val="000000" w:themeColor="text1"/>
        </w:rPr>
        <w:t xml:space="preserve">       </w:t>
      </w:r>
      <w:r>
        <w:rPr>
          <w:rFonts w:eastAsia="Calibri" w:cs="Times New Roman" w:cstheme="majorBidi"/>
          <w:szCs w:val="22"/>
        </w:rPr>
        <w:t>cold</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h</m:t>
        </m:r>
      </m:oMath>
      <w:r>
        <w:rPr>
          <w:color w:val="000000" w:themeColor="text1"/>
        </w:rPr>
        <w:t xml:space="preserve">       </w:t>
      </w:r>
      <w:r>
        <w:rPr>
          <w:rFonts w:eastAsia="Calibri" w:cs="Times New Roman" w:cstheme="majorBidi"/>
          <w:szCs w:val="22"/>
        </w:rPr>
        <w:t>hot</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eff</m:t>
        </m:r>
      </m:oMath>
      <w:r>
        <w:rPr>
          <w:color w:val="000000" w:themeColor="text1"/>
        </w:rPr>
        <w:t xml:space="preserve">     </w:t>
      </w:r>
      <w:r>
        <w:rPr>
          <w:rFonts w:eastAsia="Calibri" w:cs="Times New Roman" w:cstheme="majorBidi"/>
          <w:szCs w:val="22"/>
        </w:rPr>
        <w:t>effective</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f</m:t>
        </m:r>
      </m:oMath>
      <w:r>
        <w:rPr>
          <w:color w:val="000000" w:themeColor="text1"/>
        </w:rPr>
        <w:t xml:space="preserve">       </w:t>
      </w:r>
      <w:r>
        <w:rPr>
          <w:rFonts w:eastAsia="Calibri" w:cs="Times New Roman" w:cstheme="majorBidi"/>
          <w:szCs w:val="22"/>
        </w:rPr>
        <w:t>fluid</w:t>
      </w:r>
    </w:p>
    <w:p>
      <w:pPr>
        <w:pStyle w:val="Normal"/>
        <w:ind w:right="1418" w:hanging="0"/>
        <w:rPr>
          <w:color w:val="000000" w:themeColor="text1"/>
        </w:rPr>
      </w:pPr>
      <w:r>
        <w:rPr/>
      </w:r>
      <m:oMath xmlns:m="http://schemas.openxmlformats.org/officeDocument/2006/math">
        <m:r>
          <w:rPr>
            <w:rFonts w:ascii="Cambria Math" w:hAnsi="Cambria Math"/>
          </w:rPr>
          <m:t xml:space="preserve">p</m:t>
        </m:r>
      </m:oMath>
      <w:r>
        <w:rPr>
          <w:color w:val="000000" w:themeColor="text1"/>
        </w:rPr>
        <w:t xml:space="preserve">       </w:t>
      </w:r>
      <w:r>
        <w:rPr>
          <w:color w:val="000000" w:themeColor="text1"/>
        </w:rPr>
        <w:t>Particle</w:t>
      </w:r>
    </w:p>
    <w:p>
      <w:pPr>
        <w:pStyle w:val="Normal"/>
        <w:ind w:right="1418" w:hanging="0"/>
        <w:rPr>
          <w:color w:val="000000" w:themeColor="text1"/>
        </w:rPr>
      </w:pPr>
      <w:r>
        <w:rPr/>
      </w:r>
      <m:oMath xmlns:m="http://schemas.openxmlformats.org/officeDocument/2006/math">
        <m:r>
          <w:rPr>
            <w:rFonts w:ascii="Cambria Math" w:hAnsi="Cambria Math"/>
          </w:rPr>
          <m:t xml:space="preserve">nf</m:t>
        </m:r>
      </m:oMath>
      <w:r>
        <w:rPr>
          <w:i/>
          <w:iCs/>
          <w:color w:val="000000" w:themeColor="text1"/>
        </w:rPr>
        <w:t xml:space="preserve"> </w:t>
      </w:r>
      <w:r>
        <w:rPr>
          <w:color w:val="000000" w:themeColor="text1"/>
        </w:rPr>
        <w:t xml:space="preserve">     </w:t>
      </w:r>
      <w:r>
        <w:rPr>
          <w:color w:val="000000" w:themeColor="text1"/>
        </w:rPr>
        <w:t>nanofluid</w:t>
      </w:r>
      <w:bookmarkStart w:id="5" w:name="_Hlk92382004"/>
      <w:bookmarkEnd w:id="5"/>
    </w:p>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ind w:firstLine="440"/>
        <w:rPr>
          <w:color w:val="000000" w:themeColor="text1"/>
          <w:szCs w:val="22"/>
        </w:rPr>
      </w:pPr>
      <w:r>
        <w:rPr>
          <w:color w:val="000000" w:themeColor="text1"/>
          <w:szCs w:val="22"/>
        </w:rPr>
        <w:t xml:space="preserve">Free convection heat transfer in square enclosures is largely used in numerous engineering applications such as heat exchangers, buildings, built-in-storage solar collectors and thermal management of electronics </w:t>
      </w:r>
      <w:sdt>
        <w:sdtPr>
          <w:id w:val="987340964"/>
        </w:sdtPr>
        <w:sdtContent>
          <w:r>
            <w:rPr>
              <w:color w:val="000000"/>
              <w:szCs w:val="22"/>
            </w:rPr>
            <w:t>[</w:t>
          </w:r>
          <w:r>
            <w:rPr>
              <w:color w:val="5B9BD5" w:themeColor="accent5"/>
              <w:szCs w:val="22"/>
            </w:rPr>
            <w:t>1</w:t>
          </w:r>
          <w:r>
            <w:rPr>
              <w:color w:val="000000"/>
              <w:szCs w:val="22"/>
            </w:rPr>
            <w:t>]</w:t>
          </w:r>
        </w:sdtContent>
      </w:sdt>
      <w:r>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Pr>
          <w:color w:val="000000" w:themeColor="text1"/>
          <w:szCs w:val="22"/>
        </w:rPr>
        <w:t xml:space="preserve"> </w:t>
      </w:r>
      <w:sdt>
        <w:sdtPr>
          <w:id w:val="1600161216"/>
        </w:sdtPr>
        <w:sdtContent>
          <w:r>
            <w:rPr>
              <w:color w:val="000000"/>
              <w:szCs w:val="22"/>
            </w:rPr>
            <w:t>[</w:t>
          </w:r>
          <w:r>
            <w:rPr>
              <w:color w:val="5B9BD5" w:themeColor="accent5"/>
              <w:szCs w:val="22"/>
            </w:rPr>
            <w:t>2</w:t>
          </w:r>
          <w:r>
            <w:rPr>
              <w:color w:val="000000"/>
              <w:szCs w:val="22"/>
            </w:rPr>
            <w:t>,</w:t>
          </w:r>
          <w:r>
            <w:rPr>
              <w:color w:val="5B9BD5" w:themeColor="accent5"/>
              <w:szCs w:val="22"/>
            </w:rPr>
            <w:t>3</w:t>
          </w:r>
          <w:r>
            <w:rPr>
              <w:color w:val="000000"/>
              <w:szCs w:val="22"/>
            </w:rPr>
            <w:t>,</w:t>
          </w:r>
          <w:r>
            <w:rPr>
              <w:color w:val="5B9BD5" w:themeColor="accent5"/>
              <w:szCs w:val="22"/>
            </w:rPr>
            <w:t>4</w:t>
          </w:r>
          <w:r>
            <w:rPr>
              <w:color w:val="000000"/>
              <w:szCs w:val="22"/>
            </w:rPr>
            <w:t>,</w:t>
          </w:r>
          <w:r>
            <w:rPr>
              <w:color w:val="5B9BD5" w:themeColor="accent5"/>
              <w:szCs w:val="22"/>
            </w:rPr>
            <w:t>5</w:t>
          </w:r>
          <w:r>
            <w:rPr>
              <w:color w:val="000000"/>
              <w:szCs w:val="22"/>
            </w:rPr>
            <w:t>,</w:t>
          </w:r>
          <w:r>
            <w:rPr>
              <w:color w:val="5B9BD5" w:themeColor="accent5"/>
              <w:szCs w:val="22"/>
            </w:rPr>
            <w:t>6</w:t>
          </w:r>
          <w:r>
            <w:rPr>
              <w:color w:val="000000"/>
              <w:szCs w:val="22"/>
            </w:rPr>
            <w:t>]</w:t>
          </w:r>
        </w:sdtContent>
      </w:sdt>
      <w:r>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id w:val="57071989"/>
        </w:sdtPr>
        <w:sdtContent>
          <w:r>
            <w:rPr>
              <w:color w:val="000000"/>
              <w:szCs w:val="22"/>
            </w:rPr>
            <w:t>[</w:t>
          </w:r>
          <w:r>
            <w:rPr>
              <w:color w:val="5B9BD5" w:themeColor="accent5"/>
              <w:szCs w:val="22"/>
            </w:rPr>
            <w:t>7</w:t>
          </w:r>
          <w:r>
            <w:rPr>
              <w:color w:val="000000"/>
              <w:szCs w:val="22"/>
            </w:rPr>
            <w:t>]</w:t>
          </w:r>
        </w:sdtContent>
      </w:sdt>
      <w:r>
        <w:rPr>
          <w:color w:val="000000" w:themeColor="text1"/>
          <w:szCs w:val="22"/>
        </w:rPr>
        <w:t>. The two-phase model</w:t>
      </w:r>
      <w:r>
        <w:rPr>
          <w:color w:val="000000" w:themeColor="text1"/>
          <w:szCs w:val="22"/>
        </w:rPr>
        <w:t xml:space="preserve">, initiated in 2006 by Buongiorno, offered a deeper insight into the movement of nanoparticles into the base fluid. Alsabery et al. </w:t>
      </w:r>
      <w:sdt>
        <w:sdtPr>
          <w:id w:val="559193021"/>
        </w:sdtPr>
        <w:sdtContent>
          <w:r>
            <w:rPr>
              <w:color w:val="000000"/>
              <w:szCs w:val="22"/>
            </w:rPr>
            <w:t>[</w:t>
          </w:r>
          <w:r>
            <w:rPr>
              <w:color w:val="5B9BD5" w:themeColor="accent5"/>
              <w:szCs w:val="22"/>
            </w:rPr>
            <w:t>8</w:t>
          </w:r>
          <w:r>
            <w:rPr>
              <w:color w:val="000000"/>
              <w:szCs w:val="22"/>
            </w:rPr>
            <w:t>]</w:t>
          </w:r>
        </w:sdtContent>
      </w:sdt>
      <w:r>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pPr>
        <w:pStyle w:val="Normal"/>
        <w:ind w:firstLine="440"/>
        <w:rPr>
          <w:color w:val="000000" w:themeColor="text1"/>
          <w:szCs w:val="22"/>
        </w:rPr>
      </w:pPr>
      <w:r>
        <w:rPr>
          <w:color w:val="000000" w:themeColor="text1"/>
          <w:szCs w:val="22"/>
        </w:rPr>
        <w:t xml:space="preserve">Some analytical and numerical investigations have been performed on free convection through nanofluids in cavities of different shapes </w:t>
      </w:r>
      <w:sdt>
        <w:sdtPr>
          <w:id w:val="324501460"/>
        </w:sdtPr>
        <w:sdtContent>
          <w:r>
            <w:rPr>
              <w:color w:val="000000"/>
              <w:szCs w:val="22"/>
            </w:rPr>
            <w:t>[</w:t>
          </w:r>
          <w:r>
            <w:rPr>
              <w:color w:val="5B9BD5" w:themeColor="accent5"/>
              <w:szCs w:val="22"/>
            </w:rPr>
            <w:t>9</w:t>
          </w:r>
          <w:r>
            <w:rPr>
              <w:color w:val="000000"/>
              <w:szCs w:val="22"/>
            </w:rPr>
            <w:t>,</w:t>
          </w:r>
          <w:r>
            <w:rPr>
              <w:color w:val="5B9BD5" w:themeColor="accent5"/>
              <w:szCs w:val="22"/>
            </w:rPr>
            <w:t>10</w:t>
          </w:r>
          <w:r>
            <w:rPr>
              <w:color w:val="000000"/>
              <w:szCs w:val="22"/>
            </w:rPr>
            <w:t>,</w:t>
          </w:r>
          <w:r>
            <w:rPr>
              <w:color w:val="5B9BD5" w:themeColor="accent5"/>
              <w:szCs w:val="22"/>
            </w:rPr>
            <w:t>11</w:t>
          </w:r>
          <w:r>
            <w:rPr>
              <w:color w:val="000000"/>
              <w:szCs w:val="22"/>
            </w:rPr>
            <w:t>,</w:t>
          </w:r>
          <w:r>
            <w:rPr>
              <w:color w:val="5B9BD5" w:themeColor="accent5"/>
              <w:szCs w:val="22"/>
            </w:rPr>
            <w:t>12</w:t>
          </w:r>
          <w:r>
            <w:rPr>
              <w:color w:val="000000"/>
              <w:szCs w:val="22"/>
            </w:rPr>
            <w:t>,</w:t>
          </w:r>
          <w:r>
            <w:rPr>
              <w:color w:val="5B9BD5" w:themeColor="accent5"/>
              <w:szCs w:val="22"/>
            </w:rPr>
            <w:t>13</w:t>
          </w:r>
          <w:r>
            <w:rPr>
              <w:color w:val="000000"/>
              <w:szCs w:val="22"/>
            </w:rPr>
            <w:t>]</w:t>
          </w:r>
        </w:sdtContent>
      </w:sdt>
      <w:r>
        <w:rPr>
          <w:color w:val="000000" w:themeColor="text1"/>
          <w:szCs w:val="22"/>
        </w:rPr>
        <w:t xml:space="preserve">. </w:t>
      </w:r>
      <w:r>
        <w:rPr>
          <w:color w:val="000000" w:themeColor="text1"/>
          <w:szCs w:val="22"/>
        </w:rPr>
        <w:t>These studies have investigated the impact of altering the nanoparticle's volume fraction at various Rayleigh numbers (Ra) on heat transfer.</w:t>
      </w:r>
    </w:p>
    <w:p>
      <w:pPr>
        <w:pStyle w:val="Normal"/>
        <w:ind w:firstLine="440"/>
        <w:rPr>
          <w:color w:val="000000" w:themeColor="text1"/>
          <w:szCs w:val="22"/>
        </w:rPr>
      </w:pPr>
      <w:r>
        <w:rPr>
          <w:color w:val="000000" w:themeColor="text1"/>
          <w:szCs w:val="22"/>
        </w:rPr>
        <w:t xml:space="preserve">Houda et al. </w:t>
      </w:r>
      <w:sdt>
        <w:sdtPr>
          <w:id w:val="1590858583"/>
        </w:sdtPr>
        <w:sdtContent>
          <w:r>
            <w:rPr>
              <w:color w:val="000000"/>
              <w:szCs w:val="22"/>
            </w:rPr>
            <w:t>[</w:t>
          </w:r>
          <w:r>
            <w:rPr>
              <w:color w:val="5B9BD5" w:themeColor="accent5"/>
              <w:szCs w:val="22"/>
            </w:rPr>
            <w:t>14</w:t>
          </w:r>
          <w:r>
            <w:rPr>
              <w:color w:val="000000"/>
              <w:szCs w:val="22"/>
            </w:rPr>
            <w:t>]</w:t>
          </w:r>
        </w:sdtContent>
      </w:sdt>
      <w:r>
        <w:rPr>
          <w:color w:val="000000" w:themeColor="text1"/>
          <w:szCs w:val="22"/>
        </w:rPr>
        <w:t xml:space="preserve"> have explored enhanced heat transfer in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r>
          <w:rPr>
            <w:rFonts w:ascii="Cambria Math" w:hAnsi="Cambria Math"/>
          </w:rPr>
          <m:t xml:space="preserve">water</m:t>
        </m:r>
      </m:oMath>
      <w:r>
        <w:rPr>
          <w:color w:val="000000" w:themeColor="text1"/>
          <w:szCs w:val="22"/>
        </w:rPr>
        <w:t xml:space="preserve"> nanofluid through nanoparticle addition. They have carried out a numerical study of a square enclosure, revealing optimal conditions for heat transfer improvement. They have proposed precise correlations for thermal conductivity and viscosity on the basis of experimental outcomes. They have identified the minimum value of temperature (40°C) and the diameter limit (45-50 nm) for enhanced heat transmission. Ma et al. </w:t>
      </w:r>
      <w:sdt>
        <w:sdtPr>
          <w:id w:val="1322568926"/>
        </w:sdtPr>
        <w:sdtContent>
          <w:r>
            <w:rPr>
              <w:color w:val="000000"/>
              <w:szCs w:val="22"/>
            </w:rPr>
            <w:t>[</w:t>
          </w:r>
          <w:r>
            <w:rPr>
              <w:color w:val="5B9BD5" w:themeColor="accent5"/>
              <w:szCs w:val="22"/>
            </w:rPr>
            <w:t>15</w:t>
          </w:r>
          <w:r>
            <w:rPr>
              <w:color w:val="000000"/>
              <w:szCs w:val="22"/>
            </w:rPr>
            <w:t>,</w:t>
          </w:r>
          <w:r>
            <w:rPr>
              <w:color w:val="5B9BD5" w:themeColor="accent5"/>
              <w:szCs w:val="22"/>
            </w:rPr>
            <w:t>16</w:t>
          </w:r>
          <w:r>
            <w:rPr>
              <w:color w:val="000000"/>
              <w:szCs w:val="22"/>
            </w:rPr>
            <w:t>]</w:t>
          </w:r>
        </w:sdtContent>
      </w:sdt>
      <w:r>
        <w:rPr>
          <w:color w:val="000000" w:themeColor="text1"/>
          <w:szCs w:val="22"/>
        </w:rPr>
        <w:t xml:space="preserve"> </w:t>
      </w:r>
      <w:r>
        <w:rPr>
          <w:color w:val="000000" w:themeColor="text1"/>
          <w:szCs w:val="22"/>
        </w:rPr>
        <w:t xml:space="preserve">have numerically investigated the natural convection of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and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nanofluids inside a U-shaped enclosure featuring a heated obstacle. It was demonstrated that an increase in the Ra and the nanoparticles volume fraction (</w:t>
      </w:r>
      <w:r>
        <w:rPr/>
      </w:r>
      <m:oMath xmlns:m="http://schemas.openxmlformats.org/officeDocument/2006/math">
        <m:r>
          <w:rPr>
            <w:rFonts w:ascii="Cambria Math" w:hAnsi="Cambria Math"/>
          </w:rPr>
          <m:t xml:space="preserve">φ</m:t>
        </m:r>
      </m:oMath>
      <w:r>
        <w:rPr>
          <w:color w:val="000000" w:themeColor="text1"/>
          <w:szCs w:val="22"/>
        </w:rPr>
        <w:t xml:space="preserve">) led to a higher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on the obstacle sides, irrespective of the aspect ratio. At lower </w:t>
      </w:r>
      <w:r>
        <w:rPr/>
      </w:r>
      <m:oMath xmlns:m="http://schemas.openxmlformats.org/officeDocument/2006/math">
        <m:r>
          <w:rPr>
            <w:rFonts w:ascii="Cambria Math" w:hAnsi="Cambria Math"/>
          </w:rPr>
          <m:t xml:space="preserve">Ra</m:t>
        </m:r>
      </m:oMath>
      <w:r>
        <w:rPr>
          <w:color w:val="000000" w:themeColor="text1"/>
          <w:szCs w:val="22"/>
        </w:rPr>
        <w:t xml:space="preserve">, nanoparticles had a greater impact on the improvement of the heat transfer in slender cavities compared to larger ones. Moreover, when the diameters of nanoparticles are equal,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are more effective than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ones in enhancing heat transfer. Faraz et al. </w:t>
      </w:r>
      <w:sdt>
        <w:sdtPr>
          <w:id w:val="1557940572"/>
        </w:sdtPr>
        <w:sdtContent>
          <w:r>
            <w:rPr>
              <w:color w:val="000000"/>
              <w:szCs w:val="22"/>
            </w:rPr>
            <w:t>[</w:t>
          </w:r>
          <w:r>
            <w:rPr>
              <w:color w:val="5B9BD5" w:themeColor="accent5"/>
              <w:szCs w:val="22"/>
            </w:rPr>
            <w:t>17</w:t>
          </w:r>
          <w:r>
            <w:rPr>
              <w:color w:val="000000"/>
              <w:szCs w:val="22"/>
            </w:rPr>
            <w:t>]</w:t>
          </w:r>
        </w:sdtContent>
      </w:sdt>
      <w:r>
        <w:rPr>
          <w:color w:val="000000" w:themeColor="text1"/>
          <w:szCs w:val="22"/>
        </w:rPr>
        <w:t xml:space="preserve"> </w:t>
      </w:r>
      <w:r>
        <w:rPr>
          <w:color w:val="000000" w:themeColor="text1"/>
          <w:szCs w:val="22"/>
        </w:rPr>
        <w:t xml:space="preserve">have conducted a study on convective heat transfer through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w:r>
        <w:rPr/>
      </w:r>
      <m:oMath xmlns:m="http://schemas.openxmlformats.org/officeDocument/2006/math">
        <m:r>
          <w:rPr>
            <w:rFonts w:ascii="Cambria Math" w:hAnsi="Cambria Math"/>
          </w:rPr>
          <m:t xml:space="preserve">Cu</m:t>
        </m:r>
      </m:oMath>
      <w:r>
        <w:rPr>
          <w:color w:val="000000" w:themeColor="text1"/>
          <w:szCs w:val="22"/>
        </w:rPr>
        <w:t xml:space="preserve"> nanoparticles led to enhanced heat transfer within the cavity.</w:t>
      </w:r>
    </w:p>
    <w:p>
      <w:pPr>
        <w:pStyle w:val="Normal"/>
        <w:ind w:firstLine="440"/>
        <w:rPr>
          <w:color w:val="000000" w:themeColor="text1"/>
          <w:szCs w:val="22"/>
        </w:rPr>
      </w:pPr>
      <w:r>
        <w:rPr>
          <w:color w:val="000000" w:themeColor="text1"/>
          <w:szCs w:val="22"/>
        </w:rPr>
        <w:t xml:space="preserve">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 </w:t>
      </w:r>
      <w:sdt>
        <w:sdtPr>
          <w:id w:val="1427954592"/>
        </w:sdtPr>
        <w:sdtContent>
          <w:r>
            <w:rPr>
              <w:color w:val="000000"/>
              <w:szCs w:val="22"/>
            </w:rPr>
            <w:t>[</w:t>
          </w:r>
          <w:r>
            <w:rPr>
              <w:color w:val="5B9BD5" w:themeColor="accent5"/>
              <w:szCs w:val="22"/>
            </w:rPr>
            <w:t>18</w:t>
          </w:r>
          <w:r>
            <w:rPr>
              <w:color w:val="000000"/>
              <w:szCs w:val="22"/>
            </w:rPr>
            <w:t>]</w:t>
          </w:r>
        </w:sdtContent>
      </w:sdt>
      <w:r>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w:r>
        <w:rPr/>
      </w:r>
      <m:oMath xmlns:m="http://schemas.openxmlformats.org/officeDocument/2006/math">
        <m:r>
          <w:rPr>
            <w:rFonts w:ascii="Cambria Math" w:hAnsi="Cambria Math"/>
          </w:rPr>
          <m:t xml:space="preserve">Ra</m:t>
        </m:r>
      </m:oMath>
      <w:r>
        <w:rPr>
          <w:color w:val="000000" w:themeColor="text1"/>
          <w:szCs w:val="22"/>
        </w:rPr>
        <w:t xml:space="preserve"> values. Nevertheless, at the same Ra, shear-thinning 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color w:val="000000" w:themeColor="text1"/>
          <w:szCs w:val="22"/>
        </w:rPr>
        <w:t xml:space="preserve"> exhibited greater heat transfer rates compared to both Newtonian fluids and dilatant behavior with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color w:val="000000" w:themeColor="text1"/>
          <w:szCs w:val="22"/>
        </w:rPr>
        <w:t>. These obtained results are confirmed by several researchers</w:t>
      </w:r>
      <w:sdt>
        <w:sdtPr>
          <w:id w:val="1979798564"/>
        </w:sdtPr>
        <w:sdtContent>
          <w:r>
            <w:rPr>
              <w:color w:val="000000"/>
              <w:szCs w:val="22"/>
            </w:rPr>
            <w:t>[</w:t>
          </w:r>
          <w:r>
            <w:rPr>
              <w:color w:val="5B9BD5" w:themeColor="accent5"/>
              <w:szCs w:val="22"/>
            </w:rPr>
            <w:t>19</w:t>
          </w:r>
          <w:r>
            <w:rPr>
              <w:color w:val="000000"/>
              <w:szCs w:val="22"/>
            </w:rPr>
            <w:t>,</w:t>
          </w:r>
          <w:r>
            <w:rPr>
              <w:color w:val="5B9BD5" w:themeColor="accent5"/>
              <w:szCs w:val="22"/>
            </w:rPr>
            <w:t>20</w:t>
          </w:r>
          <w:r>
            <w:rPr>
              <w:color w:val="000000"/>
              <w:szCs w:val="22"/>
            </w:rPr>
            <w:t>,</w:t>
          </w:r>
          <w:r>
            <w:rPr>
              <w:color w:val="5B9BD5" w:themeColor="accent5"/>
              <w:szCs w:val="22"/>
            </w:rPr>
            <w:t>21</w:t>
          </w:r>
          <w:r>
            <w:rPr>
              <w:color w:val="000000"/>
              <w:szCs w:val="22"/>
            </w:rPr>
            <w:t>,</w:t>
          </w:r>
          <w:r>
            <w:rPr>
              <w:color w:val="5B9BD5" w:themeColor="accent5"/>
              <w:szCs w:val="22"/>
            </w:rPr>
            <w:t>22</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Several published studies have proved that the presence of the fin in cavities introduces an additional heat transfer surface, leading to improved convective heat transfer. Elatar et al. </w:t>
      </w:r>
      <w:sdt>
        <w:sdtPr>
          <w:id w:val="862135430"/>
        </w:sdtPr>
        <w:sdtContent>
          <w:r>
            <w:rPr>
              <w:color w:val="000000"/>
              <w:szCs w:val="22"/>
            </w:rPr>
            <w:t>[</w:t>
          </w:r>
          <w:r>
            <w:rPr>
              <w:color w:val="5B9BD5" w:themeColor="accent5"/>
              <w:szCs w:val="22"/>
            </w:rPr>
            <w:t>23</w:t>
          </w:r>
          <w:r>
            <w:rPr>
              <w:color w:val="000000"/>
              <w:szCs w:val="22"/>
            </w:rPr>
            <w:t>]</w:t>
          </w:r>
        </w:sdtContent>
      </w:sdt>
      <w:r>
        <w:rPr>
          <w:color w:val="000000" w:themeColor="text1"/>
          <w:szCs w:val="22"/>
        </w:rPr>
        <w:t xml:space="preserve"> </w:t>
      </w:r>
      <w:r>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id w:val="90652667"/>
        </w:sdtPr>
        <w:sdtContent>
          <w:r>
            <w:rPr>
              <w:color w:val="000000"/>
              <w:szCs w:val="22"/>
            </w:rPr>
            <w:t>[</w:t>
          </w:r>
          <w:r>
            <w:rPr>
              <w:color w:val="5B9BD5" w:themeColor="accent5"/>
              <w:szCs w:val="22"/>
            </w:rPr>
            <w:t>24</w:t>
          </w:r>
          <w:r>
            <w:rPr>
              <w:color w:val="000000"/>
              <w:szCs w:val="22"/>
            </w:rPr>
            <w:t>]</w:t>
          </w:r>
        </w:sdtContent>
      </w:sdt>
      <w:r>
        <w:rPr>
          <w:color w:val="000000" w:themeColor="text1"/>
          <w:szCs w:val="22"/>
        </w:rPr>
        <w:t xml:space="preserve"> </w:t>
      </w:r>
      <w:r>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id w:val="991677989"/>
        </w:sdtPr>
        <w:sdtContent>
          <w:r>
            <w:rPr>
              <w:color w:val="000000"/>
              <w:szCs w:val="22"/>
            </w:rPr>
            <w:t>[</w:t>
          </w:r>
          <w:r>
            <w:rPr>
              <w:color w:val="5B9BD5" w:themeColor="accent5"/>
              <w:szCs w:val="22"/>
            </w:rPr>
            <w:t>25</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In the constantly changing field of heat transfer involving fluid flow through nanoparticles inside cavities, there have been notable advancements in recent years. Islam et al. </w:t>
      </w:r>
      <w:sdt>
        <w:sdtPr>
          <w:id w:val="1165118193"/>
        </w:sdtPr>
        <w:sdtContent>
          <w:r>
            <w:rPr>
              <w:color w:val="000000"/>
              <w:szCs w:val="22"/>
            </w:rPr>
            <w:t>[</w:t>
          </w:r>
          <w:r>
            <w:rPr>
              <w:color w:val="5B9BD5" w:themeColor="accent5"/>
              <w:szCs w:val="22"/>
            </w:rPr>
            <w:t>26</w:t>
          </w:r>
          <w:r>
            <w:rPr>
              <w:color w:val="000000"/>
              <w:szCs w:val="22"/>
            </w:rPr>
            <w:t>]</w:t>
          </w:r>
        </w:sdtContent>
      </w:sdt>
      <w:r>
        <w:rPr>
          <w:color w:val="000000" w:themeColor="text1"/>
          <w:szCs w:val="22"/>
        </w:rPr>
        <w:t xml:space="preserve"> analyzed copper-water nanofluid convective flow through a prismatic cavit</w:t>
      </w:r>
      <w:r>
        <w:rPr>
          <w:color w:val="000000" w:themeColor="text1"/>
          <w:szCs w:val="22"/>
        </w:rPr>
        <w:t xml:space="preserve">y under two different temperature boundary conditions, aiming to visualize temperature flow and identify the most efficient temperature change path. Khan et al. </w:t>
      </w:r>
      <w:sdt>
        <w:sdtPr>
          <w:id w:val="1609334398"/>
        </w:sdtPr>
        <w:sdtContent>
          <w:r>
            <w:rPr>
              <w:color w:val="000000"/>
              <w:szCs w:val="22"/>
            </w:rPr>
            <w:t>[</w:t>
          </w:r>
          <w:r>
            <w:rPr>
              <w:color w:val="5B9BD5" w:themeColor="accent5"/>
              <w:szCs w:val="22"/>
            </w:rPr>
            <w:t>27</w:t>
          </w:r>
          <w:r>
            <w:rPr>
              <w:color w:val="000000"/>
              <w:szCs w:val="22"/>
            </w:rPr>
            <w:t>]</w:t>
          </w:r>
        </w:sdtContent>
      </w:sdt>
      <w:r>
        <w:rPr>
          <w:color w:val="000000" w:themeColor="text1"/>
          <w:szCs w:val="22"/>
        </w:rPr>
        <w:t xml:space="preserve"> </w:t>
      </w:r>
      <w:r>
        <w:rPr>
          <w:color w:val="000000" w:themeColor="text1"/>
          <w:szCs w:val="22"/>
        </w:rPr>
        <w:t xml:space="preserve">studied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free convection heat transfer inside a square enclosure with partly active sidewalls employing Finite Element Method (FEM). Saha et al. </w:t>
      </w:r>
      <w:sdt>
        <w:sdtPr>
          <w:id w:val="1249611145"/>
        </w:sdtPr>
        <w:sdtContent>
          <w:r>
            <w:rPr>
              <w:color w:val="000000"/>
              <w:szCs w:val="22"/>
            </w:rPr>
            <w:t>[</w:t>
          </w:r>
          <w:r>
            <w:rPr>
              <w:color w:val="5B9BD5" w:themeColor="accent5"/>
              <w:szCs w:val="22"/>
            </w:rPr>
            <w:t>28</w:t>
          </w:r>
          <w:r>
            <w:rPr>
              <w:color w:val="000000"/>
              <w:szCs w:val="22"/>
            </w:rPr>
            <w:t>]</w:t>
          </w:r>
        </w:sdtContent>
      </w:sdt>
      <w:r>
        <w:rPr>
          <w:color w:val="000000" w:themeColor="text1"/>
          <w:szCs w:val="22"/>
        </w:rPr>
        <w:t xml:space="preserve"> conducted a numerical study of MHD free convective heat transfer and fluid flow inside a square cavity containing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The cavity features a wavy top wall and a vertically attached, hot single fin in the center of the bottom side. The upper wavy side is considered cold, while the bottom, left, and right sides were thermally isolated.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possess a high thermal conductivity, and Cu nanoparticles exhibit both high specific heat capacity and thermal conductivity, while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nanoparticles possess a high surface area. They also exhibit other advantages that 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 However, despite the existing literature, there is still a research gap that needs to be further investigated in order to fully understand the non-Newtonian flow behavior in a square enclosure with a hot central fin.</w:t>
      </w:r>
    </w:p>
    <w:p>
      <w:pPr>
        <w:pStyle w:val="Normal"/>
        <w:ind w:firstLine="440"/>
        <w:rPr>
          <w:color w:val="000000" w:themeColor="text1"/>
          <w:szCs w:val="22"/>
        </w:rPr>
      </w:pPr>
      <w:r>
        <w:rPr>
          <w:color w:val="000000" w:themeColor="text1"/>
          <w:szCs w:val="22"/>
        </w:rPr>
        <w:t>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w:r>
        <w:rPr/>
      </w:r>
      <m:oMath xmlns:m="http://schemas.openxmlformats.org/officeDocument/2006/math">
        <m:r>
          <w:rPr>
            <w:rFonts w:ascii="Cambria Math" w:hAnsi="Cambria Math"/>
          </w:rPr>
          <m:t xml:space="preserve">Ra</m:t>
        </m:r>
      </m:oMath>
      <w:r>
        <w:rPr>
          <w:color w:val="000000" w:themeColor="text1"/>
          <w:szCs w:val="22"/>
        </w:rPr>
        <w:t>), nanoparticle volume fractions (</w:t>
      </w:r>
      <w:r>
        <w:rPr/>
      </w:r>
      <m:oMath xmlns:m="http://schemas.openxmlformats.org/officeDocument/2006/math">
        <m:r>
          <w:rPr>
            <w:rFonts w:ascii="Cambria Math" w:hAnsi="Cambria Math"/>
          </w:rPr>
          <m:t xml:space="preserve">φ</m:t>
        </m:r>
      </m:oMath>
      <w:r>
        <w:rPr>
          <w:color w:val="000000" w:themeColor="text1"/>
          <w:szCs w:val="22"/>
        </w:rPr>
        <w:t>), power-law index (</w:t>
      </w:r>
      <w:r>
        <w:rPr/>
      </w:r>
      <m:oMath xmlns:m="http://schemas.openxmlformats.org/officeDocument/2006/math">
        <m:r>
          <w:rPr>
            <w:rFonts w:ascii="Cambria Math" w:hAnsi="Cambria Math"/>
          </w:rPr>
          <m:t xml:space="preserve">n</m:t>
        </m:r>
      </m:oMath>
      <w:r>
        <w:rPr>
          <w:color w:val="000000" w:themeColor="text1"/>
          <w:szCs w:val="22"/>
        </w:rPr>
        <w:t>), and fin dimensions (</w:t>
      </w:r>
      <w:r>
        <w:rPr/>
      </w:r>
      <m:oMath xmlns:m="http://schemas.openxmlformats.org/officeDocument/2006/math">
        <m:r>
          <w:rPr>
            <w:rFonts w:ascii="Cambria Math" w:hAnsi="Cambria Math"/>
          </w:rPr>
          <m:t xml:space="preserve">Ar</m:t>
        </m:r>
      </m:oMath>
      <w:r>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heat transfer. This investigation allows for a thorough analysis of the effects of these parameters on convective heat transport, particularly by evaluating their effects on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Through pinpointing the areas in the cavity that demonstrate the largest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the study offers important insights into achieving the optimum of heat transfer efficiency in nanofluidic systems.</w:t>
      </w:r>
    </w:p>
    <w:p>
      <w:pPr>
        <w:pStyle w:val="Normal"/>
        <w:widowControl w:val="false"/>
        <w:snapToGrid w:val="false"/>
        <w:spacing w:before="240" w:after="60"/>
        <w:rPr>
          <w:b/>
          <w:b/>
          <w:color w:val="000000" w:themeColor="text1"/>
          <w:szCs w:val="22"/>
        </w:rPr>
      </w:pPr>
      <w:r>
        <w:rPr>
          <w:b/>
          <w:color w:val="000000" w:themeColor="text1"/>
          <w:szCs w:val="22"/>
        </w:rPr>
        <w:t>2 Modelling and mathematical formulation</w:t>
      </w:r>
    </w:p>
    <w:p>
      <w:pPr>
        <w:pStyle w:val="Normal"/>
        <w:widowControl w:val="false"/>
        <w:snapToGrid w:val="false"/>
        <w:ind w:firstLine="426"/>
        <w:rPr>
          <w:color w:val="000000" w:themeColor="text1"/>
          <w:szCs w:val="22"/>
        </w:rPr>
      </w:pPr>
      <w:r>
        <w:rPr>
          <w:color w:val="000000" w:themeColor="text1"/>
          <w:szCs w:val="22"/>
        </w:rPr>
        <w:t xml:space="preserve">The square cavity </w:t>
      </w:r>
      <w:r>
        <w:rPr>
          <w:color w:val="5B9BD5" w:themeColor="accent5"/>
          <w:szCs w:val="22"/>
        </w:rPr>
        <w:t xml:space="preserve">Fig. 1 </w:t>
      </w:r>
      <w:r>
        <w:rPr>
          <w:color w:val="000000" w:themeColor="text1"/>
          <w:szCs w:val="22"/>
        </w:rPr>
        <w:t xml:space="preserve">is enclosed by two vertical walls cooled to a temperature of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color w:val="000000" w:themeColor="text1"/>
          <w:szCs w:val="22"/>
        </w:rPr>
        <w:t xml:space="preserve"> and two horizontal walls that are adiabatic. A heated fin with dimensionless variable length (</w:t>
      </w:r>
      <w:r>
        <w:rPr/>
      </w:r>
      <m:oMath xmlns:m="http://schemas.openxmlformats.org/officeDocument/2006/math">
        <m:r>
          <w:rPr>
            <w:rFonts w:ascii="Cambria Math" w:hAnsi="Cambria Math"/>
          </w:rPr>
          <m:t xml:space="preserve">Ar</m:t>
        </m:r>
        <m:r>
          <w:rPr>
            <w:rFonts w:ascii="Cambria Math" w:hAnsi="Cambria Math"/>
          </w:rPr>
          <m:t xml:space="preserve">=</m:t>
        </m:r>
        <m:f>
          <m:num>
            <m:r>
              <w:rPr>
                <w:rFonts w:ascii="Cambria Math" w:hAnsi="Cambria Math"/>
              </w:rPr>
              <m:t xml:space="preserve">b</m:t>
            </m:r>
          </m:num>
          <m:den>
            <m:r>
              <w:rPr>
                <w:rFonts w:ascii="Cambria Math" w:hAnsi="Cambria Math"/>
              </w:rPr>
              <m:t xml:space="preserve">L</m:t>
            </m:r>
          </m:den>
        </m:f>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0.7</m:t>
        </m:r>
      </m:oMath>
      <w:r>
        <w:rPr>
          <w:color w:val="000000" w:themeColor="text1"/>
          <w:szCs w:val="22"/>
        </w:rPr>
        <w:t xml:space="preserve">) is vertically positioned at the cavity’s midpoint, kept at an elevated temperature </w:t>
      </w:r>
      <w:r>
        <w:rPr/>
      </w:r>
      <m:oMath xmlns:m="http://schemas.openxmlformats.org/officeDocument/2006/math">
        <m:sSub>
          <m:e>
            <m:r>
              <w:rPr>
                <w:rFonts w:ascii="Cambria Math" w:hAnsi="Cambria Math"/>
              </w:rPr>
              <m:t xml:space="preserve">T</m:t>
            </m:r>
          </m:e>
          <m:sub>
            <m:r>
              <w:rPr>
                <w:rFonts w:ascii="Cambria Math" w:hAnsi="Cambria Math"/>
              </w:rPr>
              <m:t xml:space="preserve">h</m:t>
            </m:r>
          </m:sub>
        </m:sSub>
      </m:oMath>
      <w:r>
        <w:rPr>
          <w:color w:val="000000" w:themeColor="text1"/>
          <w:szCs w:val="22"/>
        </w:rPr>
        <w:t xml:space="preserve">. The enclosure contains water-based nanofluid incorporating nanoparticles of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or </w:t>
      </w:r>
      <w:r>
        <w:rPr/>
      </w:r>
      <m:oMath xmlns:m="http://schemas.openxmlformats.org/officeDocument/2006/math">
        <m:r>
          <w:rPr>
            <w:rFonts w:ascii="Cambria Math" w:hAnsi="Cambria Math"/>
          </w:rPr>
          <m:t xml:space="preserve">Cu</m:t>
        </m:r>
      </m:oMath>
      <w:r>
        <w:rPr>
          <w:color w:val="000000" w:themeColor="text1"/>
          <w:szCs w:val="22"/>
        </w:rPr>
        <w:t>, assumed as a laminar and incompressible Boussinesq power law model, with a Prandtl number (</w:t>
      </w:r>
      <w:r>
        <w:rPr/>
      </w:r>
      <m:oMath xmlns:m="http://schemas.openxmlformats.org/officeDocument/2006/math">
        <m:r>
          <w:rPr>
            <w:rFonts w:ascii="Cambria Math" w:hAnsi="Cambria Math"/>
          </w:rPr>
          <m:t xml:space="preserve">Pr</m:t>
        </m:r>
      </m:oMath>
      <w:r>
        <w:rPr>
          <w:color w:val="000000" w:themeColor="text1"/>
          <w:szCs w:val="22"/>
        </w:rPr>
        <w:t xml:space="preserve">) set at 6.2. Assuming thermal stability between the water-based fluid and nanoparticles, with no slip occurring due to their thermophysical properties as listed in </w:t>
      </w:r>
      <w:r>
        <w:rPr>
          <w:color w:val="5B9BD5" w:themeColor="accent5"/>
          <w:szCs w:val="22"/>
        </w:rPr>
        <w:t>Table 1</w:t>
      </w:r>
      <w:r>
        <w:rPr>
          <w:color w:val="000000" w:themeColor="text1"/>
          <w:szCs w:val="22"/>
        </w:rPr>
        <w:t xml:space="preserve">. Under these conditions and according to the nanofluid model suggested by Tiwari and Das </w:t>
      </w:r>
      <w:sdt>
        <w:sdtPr>
          <w:id w:val="1493602756"/>
        </w:sdtPr>
        <w:sdtContent>
          <w:r>
            <w:rPr>
              <w:color w:val="000000"/>
              <w:szCs w:val="22"/>
            </w:rPr>
            <w:t>[</w:t>
          </w:r>
          <w:r>
            <w:rPr>
              <w:color w:val="5B9BD5" w:themeColor="accent5"/>
              <w:szCs w:val="22"/>
            </w:rPr>
            <w:t>29</w:t>
          </w:r>
          <w:r>
            <w:rPr>
              <w:color w:val="000000"/>
              <w:szCs w:val="22"/>
            </w:rPr>
            <w:t>,</w:t>
          </w:r>
        </w:sdtContent>
      </w:sdt>
      <w:sdt>
        <w:sdtPr>
          <w:id w:val="1206413255"/>
        </w:sdtPr>
        <w:sdtContent>
          <w:r>
            <w:rPr>
              <w:color w:val="5B9BD5" w:themeColor="accent5"/>
              <w:szCs w:val="22"/>
            </w:rPr>
            <w:t>30</w:t>
          </w:r>
          <w:r>
            <w:rPr>
              <w:color w:val="000000"/>
              <w:szCs w:val="22"/>
            </w:rPr>
            <w:t>]</w:t>
          </w:r>
        </w:sdtContent>
      </w:sdt>
      <w:r>
        <w:rPr>
          <w:color w:val="000000" w:themeColor="text1"/>
          <w:szCs w:val="22"/>
        </w:rPr>
        <w:t xml:space="preserve">, </w:t>
      </w:r>
      <w:r>
        <w:rPr>
          <w:color w:val="000000" w:themeColor="text1"/>
          <w:szCs w:val="22"/>
        </w:rPr>
        <w:t xml:space="preserve">continuity, momentum, and energy equations, in laminar incompressible nanofluid may be expressed in their nondimensional form for the numerical solution as follows </w:t>
      </w:r>
      <w:sdt>
        <w:sdtPr>
          <w:id w:val="1395297417"/>
        </w:sdtPr>
        <w:sdtContent>
          <w:r>
            <w:rPr>
              <w:color w:val="000000"/>
              <w:szCs w:val="22"/>
            </w:rPr>
            <w:t>[</w:t>
          </w:r>
          <w:r>
            <w:rPr>
              <w:color w:val="5B9BD5" w:themeColor="accent5"/>
              <w:szCs w:val="22"/>
            </w:rPr>
            <w:t>24</w:t>
          </w:r>
          <w:r>
            <w:rPr>
              <w:color w:val="000000"/>
              <w:szCs w:val="22"/>
            </w:rPr>
            <w:t xml:space="preserve">, </w:t>
          </w:r>
          <w:r>
            <w:rPr>
              <w:color w:val="5B9BD5" w:themeColor="accent5"/>
              <w:szCs w:val="22"/>
            </w:rPr>
            <w:t>27</w:t>
          </w:r>
          <w:r>
            <w:rPr>
              <w:color w:val="000000"/>
              <w:szCs w:val="22"/>
            </w:rPr>
            <w:t>,</w:t>
          </w:r>
          <w:r>
            <w:rPr>
              <w:color w:val="5B9BD5" w:themeColor="accent5"/>
              <w:szCs w:val="22"/>
            </w:rPr>
            <w:t>28</w:t>
          </w:r>
          <w:r>
            <w:rPr>
              <w:color w:val="000000"/>
              <w:szCs w:val="22"/>
            </w:rPr>
            <w:t>,</w:t>
          </w:r>
          <w:r>
            <w:rPr>
              <w:color w:val="5B9BD5" w:themeColor="accent5"/>
              <w:szCs w:val="22"/>
            </w:rPr>
            <w:t>31</w:t>
          </w:r>
          <w:r>
            <w:rPr>
              <w:color w:val="000000"/>
              <w:szCs w:val="22"/>
            </w:rPr>
            <w:t>,</w:t>
          </w:r>
          <w:r>
            <w:rPr>
              <w:color w:val="5B9BD5" w:themeColor="accent5"/>
              <w:szCs w:val="22"/>
            </w:rPr>
            <w:t>32</w:t>
          </w:r>
          <w:r>
            <w:rPr>
              <w:color w:val="000000"/>
              <w:szCs w:val="22"/>
            </w:rPr>
            <w:t>]</w:t>
          </w:r>
        </w:sdtContent>
      </w:sdt>
      <w:r>
        <w:rPr>
          <w:color w:val="000000" w:themeColor="text1"/>
          <w:szCs w:val="22"/>
        </w:rPr>
        <w:t>.</w:t>
      </w:r>
    </w:p>
    <w:p>
      <w:pPr>
        <w:pStyle w:val="Caption1"/>
        <w:keepNext w:val="false"/>
        <w:widowControl w:val="false"/>
        <w:snapToGrid w:val="false"/>
        <w:spacing w:before="156" w:after="120"/>
        <w:rPr>
          <w:color w:val="000000" w:themeColor="text1"/>
          <w:szCs w:val="22"/>
        </w:rPr>
      </w:pPr>
      <w:r>
        <w:rPr/>
        <w:drawing>
          <wp:inline distT="0" distB="0" distL="0" distR="0">
            <wp:extent cx="3044825" cy="2544445"/>
            <wp:effectExtent l="0" t="0" r="0" b="0"/>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2"/>
                    <a:stretch>
                      <a:fillRect/>
                    </a:stretch>
                  </pic:blipFill>
                  <pic:spPr bwMode="auto">
                    <a:xfrm>
                      <a:off x="0" y="0"/>
                      <a:ext cx="3044825" cy="254444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szCs w:val="22"/>
        </w:rPr>
        <w:t xml:space="preserve">Figure 1: </w:t>
      </w:r>
      <w:r>
        <w:rPr>
          <w:b w:val="false"/>
          <w:color w:val="000000" w:themeColor="text1"/>
          <w:szCs w:val="22"/>
        </w:rPr>
        <w:t>Some functions of</w:t>
      </w:r>
      <w:r>
        <w:rPr>
          <w:color w:val="000000" w:themeColor="text1"/>
          <w:szCs w:val="22"/>
        </w:rPr>
        <w:t xml:space="preserve"> </w:t>
      </w:r>
      <w:r>
        <w:rPr/>
      </w:r>
      <m:oMath xmlns:m="http://schemas.openxmlformats.org/officeDocument/2006/math">
        <m:r>
          <w:rPr>
            <w:rFonts w:ascii="Cambria Math" w:hAnsi="Cambria Math"/>
          </w:rPr>
          <m:t xml:space="preserve">x</m:t>
        </m:r>
      </m:oMath>
    </w:p>
    <w:p>
      <w:pPr>
        <w:pStyle w:val="Normal"/>
        <w:rPr/>
      </w:pPr>
      <w:r>
        <w:rPr/>
      </w:r>
    </w:p>
    <w:p>
      <w:pPr>
        <w:pStyle w:val="Normal"/>
        <w:suppressAutoHyphens w:val="true"/>
        <w:overflowPunct w:val="false"/>
        <w:spacing w:before="0" w:after="0"/>
        <w:jc w:val="left"/>
        <w:textAlignment w:val="baseline"/>
        <w:rPr>
          <w:rFonts w:eastAsia="Times New Roman"/>
          <w:iCs/>
          <w:kern w:val="2"/>
          <w:szCs w:val="22"/>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e>
          <m:e>
            <m:d>
              <m:dPr>
                <m:begChr m:val="("/>
                <m:endChr m:val=")"/>
              </m:dPr>
              <m:e>
                <m:r>
                  <w:rPr>
                    <w:rFonts w:ascii="Cambria Math" w:hAnsi="Cambria Math"/>
                  </w:rPr>
                  <m:t xml:space="preserve">1</m:t>
                </m:r>
              </m:e>
            </m:d>
          </m:e>
        </m:eqArr>
      </m:oMath>
    </w:p>
    <w:p>
      <w:pPr>
        <w:pStyle w:val="Normal"/>
        <w:suppressAutoHyphens w:val="true"/>
        <w:overflowPunct w:val="false"/>
        <w:spacing w:before="0" w:after="0"/>
        <w:jc w:val="left"/>
        <w:textAlignment w:val="baseline"/>
        <w:rPr>
          <w:rFonts w:eastAsia="Times New Roman"/>
          <w:iCs/>
          <w:kern w:val="2"/>
          <w:sz w:val="20"/>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e>
            </m:d>
          </m:e>
          <m:e>
            <m:d>
              <m:dPr>
                <m:begChr m:val="("/>
                <m:endChr m:val=")"/>
              </m:dPr>
              <m:e>
                <m:r>
                  <w:rPr>
                    <w:rFonts w:ascii="Cambria Math" w:hAnsi="Cambria Math"/>
                  </w:rPr>
                  <m:t xml:space="preserve">2</m:t>
                </m:r>
              </m:e>
            </m:d>
          </m:e>
        </m:eqArr>
      </m:oMath>
    </w:p>
    <w:p>
      <w:pPr>
        <w:pStyle w:val="Normal"/>
        <w:suppressAutoHyphens w:val="true"/>
        <w:overflowPunct w:val="false"/>
        <w:spacing w:before="0" w:after="0"/>
        <w:jc w:val="left"/>
        <w:textAlignment w:val="baseline"/>
        <w:rPr>
          <w:rFonts w:eastAsia="Times New Roman"/>
          <w:kern w:val="2"/>
          <w:sz w:val="20"/>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r>
                  <w:rPr>
                    <w:rFonts w:ascii="Cambria Math" w:hAnsi="Cambria Math"/>
                  </w:rPr>
                  <m:t xml:space="preserve">+</m:t>
                </m:r>
                <m:r>
                  <w:rPr>
                    <w:rFonts w:ascii="Cambria Math" w:hAnsi="Cambria Math"/>
                  </w:rPr>
                  <m:t xml:space="preserve">Pr</m:t>
                </m:r>
                <m:r>
                  <w:rPr>
                    <w:rFonts w:ascii="Cambria Math" w:hAnsi="Cambria Math"/>
                  </w:rPr>
                  <m:t xml:space="preserve">θ</m:t>
                </m:r>
              </m:e>
            </m:d>
          </m:e>
          <m:e>
            <m:d>
              <m:dPr>
                <m:begChr m:val="("/>
                <m:endChr m:val=")"/>
              </m:dPr>
              <m:e>
                <m:r>
                  <w:rPr>
                    <w:rFonts w:ascii="Cambria Math" w:hAnsi="Cambria Math"/>
                  </w:rPr>
                  <m:t xml:space="preserve">3</m:t>
                </m:r>
              </m:e>
            </m:d>
          </m:e>
        </m:eqArr>
      </m:oMath>
    </w:p>
    <w:p>
      <w:pPr>
        <w:pStyle w:val="Normal"/>
        <w:suppressAutoHyphens w:val="true"/>
        <w:overflowPunct w:val="false"/>
        <w:spacing w:before="0" w:after="0"/>
        <w:jc w:val="left"/>
        <w:textAlignment w:val="baseline"/>
        <w:rPr>
          <w:rFonts w:eastAsia="Times New Roman"/>
          <w:kern w:val="2"/>
          <w:sz w:val="18"/>
          <w:szCs w:val="18"/>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Ra</m:t>
                    </m:r>
                  </m:e>
                </m:rad>
              </m:den>
            </m:f>
            <m:d>
              <m:dPr>
                <m:begChr m:val="("/>
                <m:endChr m:val=")"/>
              </m:dP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e>
            </m:d>
          </m:e>
          <m:e>
            <m:d>
              <m:dPr>
                <m:begChr m:val="("/>
                <m:endChr m:val=")"/>
              </m:dPr>
              <m:e>
                <m:r>
                  <w:rPr>
                    <w:rFonts w:ascii="Cambria Math" w:hAnsi="Cambria Math"/>
                  </w:rPr>
                  <m:t xml:space="preserve">4</m:t>
                </m:r>
              </m:e>
            </m:d>
          </m:e>
        </m:eqArr>
      </m:oMath>
    </w:p>
    <w:p>
      <w:pPr>
        <w:pStyle w:val="Normal"/>
        <w:widowControl w:val="false"/>
        <w:snapToGrid w:val="false"/>
        <w:ind w:firstLine="426"/>
        <w:rPr>
          <w:color w:val="000000" w:themeColor="text1"/>
          <w:szCs w:val="22"/>
        </w:rPr>
      </w:pPr>
      <w:r>
        <w:rPr>
          <w:color w:val="000000" w:themeColor="text1"/>
          <w:szCs w:val="22"/>
        </w:rPr>
        <w:t xml:space="preserve">Dimensionless variables can be linked to dimensional ones through </w:t>
      </w:r>
      <w:sdt>
        <w:sdtPr>
          <w:id w:val="2066826677"/>
        </w:sdtPr>
        <w:sdtContent>
          <w:r>
            <w:rPr>
              <w:color w:val="000000"/>
              <w:szCs w:val="22"/>
            </w:rPr>
            <w:t>[</w:t>
          </w:r>
          <w:r>
            <w:rPr>
              <w:color w:val="5B9BD5" w:themeColor="accent5"/>
              <w:szCs w:val="22"/>
            </w:rPr>
            <w:t>19</w:t>
          </w:r>
          <w:r>
            <w:rPr>
              <w:color w:val="000000"/>
              <w:szCs w:val="22"/>
            </w:rPr>
            <w:t>,</w:t>
          </w:r>
          <w:r>
            <w:rPr>
              <w:color w:val="5B9BD5" w:themeColor="accent5"/>
              <w:szCs w:val="22"/>
            </w:rPr>
            <w:t>28</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eastAsia="en-US"/>
        </w:rPr>
      </w:pPr>
      <w:r>
        <w:rPr/>
      </w:r>
      <m:oMath xmlns:m="http://schemas.openxmlformats.org/officeDocument/2006/math">
        <m:eqArr>
          <m:e>
            <m:r>
              <w:rPr>
                <w:rFonts w:ascii="Cambria Math" w:hAnsi="Cambria Math"/>
              </w:rPr>
              <m:t xml:space="preserve">X</m:t>
            </m:r>
            <m:r>
              <w:rPr>
                <w:rFonts w:ascii="Cambria Math" w:hAnsi="Cambria Math"/>
              </w:rPr>
              <m:t xml:space="preserve">=</m:t>
            </m:r>
            <m:f>
              <m:num>
                <m:r>
                  <w:rPr>
                    <w:rFonts w:ascii="Cambria Math" w:hAnsi="Cambria Math"/>
                  </w:rPr>
                  <m:t xml:space="preserve">x</m:t>
                </m:r>
              </m:num>
              <m:den>
                <m:r>
                  <w:rPr>
                    <w:rFonts w:ascii="Cambria Math" w:hAnsi="Cambria Math"/>
                  </w:rPr>
                  <m:t xml:space="preserve">L</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y</m:t>
                </m:r>
              </m:num>
              <m:den>
                <m:r>
                  <w:rPr>
                    <w:rFonts w:ascii="Cambria Math" w:hAnsi="Cambria Math"/>
                  </w:rPr>
                  <m:t xml:space="preserve">L</m:t>
                </m:r>
              </m:den>
            </m:f>
            <m:r>
              <w:rPr>
                <w:rFonts w:ascii="Cambria Math" w:hAnsi="Cambria Math"/>
              </w:rPr>
              <m:t xml:space="preserve">,</m:t>
            </m:r>
            <m:r>
              <w:rPr>
                <w:rFonts w:ascii="Cambria Math" w:hAnsi="Cambria Math"/>
              </w:rPr>
              <m:t xml:space="preserve">U</m:t>
            </m:r>
            <m:r>
              <w:rPr>
                <w:rFonts w:ascii="Cambria Math" w:hAnsi="Cambria Math"/>
              </w:rPr>
              <m:t xml:space="preserve">=</m:t>
            </m:r>
            <m:f>
              <m:num>
                <m:r>
                  <w:rPr>
                    <w:rFonts w:ascii="Cambria Math" w:hAnsi="Cambria Math"/>
                  </w:rPr>
                  <m:t xml:space="preserve">u</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V</m:t>
            </m:r>
            <m:r>
              <w:rPr>
                <w:rFonts w:ascii="Cambria Math" w:hAnsi="Cambria Math"/>
              </w:rPr>
              <m:t xml:space="preserve">=</m:t>
            </m:r>
            <m:f>
              <m:num>
                <m:r>
                  <w:rPr>
                    <w:rFonts w:ascii="Cambria Math" w:hAnsi="Cambria Math"/>
                  </w:rPr>
                  <m:t xml:space="preserve">v</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P</m:t>
            </m:r>
            <m:r>
              <w:rPr>
                <w:rFonts w:ascii="Cambria Math" w:hAnsi="Cambria Math"/>
              </w:rPr>
              <m:t xml:space="preserve">=</m:t>
            </m:r>
            <m:f>
              <m:num>
                <m:r>
                  <w:rPr>
                    <w:rFonts w:ascii="Cambria Math" w:hAnsi="Cambria Math"/>
                  </w:rPr>
                  <m:t xml:space="preserve">p</m:t>
                </m:r>
              </m:num>
              <m:den>
                <m:sSup>
                  <m:e>
                    <m:r>
                      <w:rPr>
                        <w:rFonts w:ascii="Cambria Math" w:hAnsi="Cambria Math"/>
                      </w:rPr>
                      <m:t xml:space="preserve">ρ</m:t>
                    </m:r>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e>
                  <m:sup>
                    <m:r>
                      <w:rPr>
                        <w:rFonts w:ascii="Cambria Math" w:hAnsi="Cambria Math"/>
                      </w:rPr>
                      <m:t xml:space="preserve">2</m:t>
                    </m:r>
                  </m:sup>
                </m:sSup>
                <m:r>
                  <w:rPr>
                    <w:rFonts w:ascii="Cambria Math" w:hAnsi="Cambria Math"/>
                  </w:rPr>
                  <m:t xml:space="preserve">Ra</m:t>
                </m:r>
              </m:den>
            </m:f>
            <m:r>
              <w:rPr>
                <w:rFonts w:ascii="Cambria Math" w:hAnsi="Cambria Math"/>
              </w:rPr>
              <m:t xml:space="preserve">,</m:t>
            </m:r>
            <m:r>
              <w:rPr>
                <w:rFonts w:ascii="Cambria Math" w:hAnsi="Cambria Math"/>
              </w:rPr>
              <m:t xml:space="preserve">Ѳ</m:t>
            </m:r>
            <m:r>
              <w:rPr>
                <w:rFonts w:ascii="Cambria Math" w:hAnsi="Cambria Math"/>
              </w:rPr>
              <m:t xml:space="preserve">=</m:t>
            </m:r>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num>
              <m:den>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den>
            </m:f>
          </m:e>
          <m:e>
            <m:d>
              <m:dPr>
                <m:begChr m:val="("/>
                <m:endChr m:val=")"/>
              </m:dPr>
              <m:e>
                <m:r>
                  <w:rPr>
                    <w:rFonts w:ascii="Cambria Math" w:hAnsi="Cambria Math"/>
                  </w:rPr>
                  <m:t xml:space="preserve">5</m:t>
                </m:r>
              </m:e>
            </m:d>
          </m:e>
        </m:eqArr>
      </m:oMath>
    </w:p>
    <w:p>
      <w:pPr>
        <w:pStyle w:val="Normal"/>
        <w:widowControl w:val="false"/>
        <w:snapToGrid w:val="false"/>
        <w:ind w:firstLine="426"/>
        <w:rPr>
          <w:color w:val="000000" w:themeColor="text1"/>
          <w:szCs w:val="22"/>
        </w:rPr>
      </w:pPr>
      <w:r>
        <w:rPr>
          <w:color w:val="000000" w:themeColor="text1"/>
          <w:szCs w:val="22"/>
        </w:rPr>
        <w:t>Dimensionless Rayleigh (</w:t>
      </w:r>
      <w:r>
        <w:rPr/>
      </w:r>
      <m:oMath xmlns:m="http://schemas.openxmlformats.org/officeDocument/2006/math">
        <m:r>
          <w:rPr>
            <w:rFonts w:ascii="Cambria Math" w:hAnsi="Cambria Math"/>
          </w:rPr>
          <m:t xml:space="preserve">Ra</m:t>
        </m:r>
      </m:oMath>
      <w:r>
        <w:rPr>
          <w:color w:val="000000" w:themeColor="text1"/>
          <w:szCs w:val="22"/>
        </w:rPr>
        <w:t>) and Prandtl (</w:t>
      </w:r>
      <w:r>
        <w:rPr/>
      </w:r>
      <m:oMath xmlns:m="http://schemas.openxmlformats.org/officeDocument/2006/math">
        <m:r>
          <w:rPr>
            <w:rFonts w:ascii="Cambria Math" w:hAnsi="Cambria Math"/>
          </w:rPr>
          <m:t xml:space="preserve">Pr</m:t>
        </m:r>
      </m:oMath>
      <w:r>
        <w:rPr>
          <w:color w:val="000000" w:themeColor="text1"/>
          <w:szCs w:val="22"/>
        </w:rPr>
        <w:t xml:space="preserve">) numbers are expressed below </w:t>
      </w:r>
      <w:sdt>
        <w:sdtPr>
          <w:id w:val="579644635"/>
        </w:sdtPr>
        <w:sdtContent>
          <w:r>
            <w:rPr>
              <w:color w:val="000000"/>
              <w:szCs w:val="22"/>
            </w:rPr>
            <w:t>[</w:t>
          </w:r>
          <w:r>
            <w:rPr>
              <w:color w:val="5B9BD5" w:themeColor="accent5"/>
              <w:szCs w:val="22"/>
            </w:rPr>
            <w:t>27</w:t>
          </w:r>
          <w:r>
            <w:rPr>
              <w:color w:val="000000"/>
              <w:szCs w:val="22"/>
            </w:rPr>
            <w:t>,</w:t>
          </w:r>
          <w:r>
            <w:rPr>
              <w:color w:val="5B9BD5" w:themeColor="accent5"/>
              <w:szCs w:val="22"/>
            </w:rPr>
            <w:t>33</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val="da-DK" w:eastAsia="en-US"/>
        </w:rPr>
      </w:pPr>
      <w:r>
        <w:rPr/>
      </w:r>
      <m:oMath xmlns:m="http://schemas.openxmlformats.org/officeDocument/2006/math">
        <m:eqArr>
          <m:e>
            <m:r>
              <w:rPr>
                <w:rFonts w:ascii="Cambria Math" w:hAnsi="Cambria Math"/>
              </w:rPr>
              <m:t xml:space="preserve">Ra</m:t>
            </m:r>
            <m:r>
              <w:rPr>
                <w:rFonts w:ascii="Cambria Math" w:hAnsi="Cambria Math"/>
              </w:rPr>
              <m:t xml:space="preserve">=</m:t>
            </m:r>
            <m:f>
              <m:num>
                <m:sSub>
                  <m:e>
                    <m:r>
                      <w:rPr>
                        <w:rFonts w:ascii="Cambria Math" w:hAnsi="Cambria Math"/>
                      </w:rPr>
                      <m:t xml:space="preserve">ρ</m:t>
                    </m:r>
                  </m:e>
                  <m:sub>
                    <m:r>
                      <w:rPr>
                        <w:rFonts w:ascii="Cambria Math" w:hAnsi="Cambria Math"/>
                      </w:rPr>
                      <m:t xml:space="preserve">f</m:t>
                    </m:r>
                  </m:sub>
                </m:sSub>
                <m:r>
                  <w:rPr>
                    <w:rFonts w:ascii="Cambria Math" w:hAnsi="Cambria Math"/>
                  </w:rPr>
                  <m:t xml:space="preserve">g</m:t>
                </m:r>
                <m:sSub>
                  <m:e>
                    <m:r>
                      <w:rPr>
                        <w:rFonts w:ascii="Cambria Math" w:hAnsi="Cambria Math"/>
                      </w:rPr>
                      <m:t xml:space="preserve">β</m:t>
                    </m:r>
                  </m:e>
                  <m:sub>
                    <m:r>
                      <w:rPr>
                        <w:rFonts w:ascii="Cambria Math" w:hAnsi="Cambria Math"/>
                      </w:rPr>
                      <m:t xml:space="preserve">f</m:t>
                    </m:r>
                  </m:sub>
                </m:sSub>
                <m:sSup>
                  <m:e>
                    <m:r>
                      <w:rPr>
                        <w:rFonts w:ascii="Cambria Math" w:hAnsi="Cambria Math"/>
                      </w:rPr>
                      <m:t xml:space="preserve">L</m:t>
                    </m:r>
                  </m:e>
                  <m:sup>
                    <m:r>
                      <w:rPr>
                        <w:rFonts w:ascii="Cambria Math" w:hAnsi="Cambria Math"/>
                      </w:rPr>
                      <m:t xml:space="preserve">3</m:t>
                    </m:r>
                  </m:sup>
                </m:sSup>
                <m:d>
                  <m:dPr>
                    <m:begChr m:val="("/>
                    <m:sepChr m:val="|"/>
                    <m:endChr m:val=")"/>
                  </m:dPr>
                  <m:e>
                    <m:r>
                      <w:rPr>
                        <w:rFonts w:ascii="Cambria Math" w:hAnsi="Cambria Math"/>
                      </w:rPr>
                      <m:t xml:space="preserve">T</m:t>
                    </m:r>
                  </m:e>
                  <m:e>
                    <m:r>
                      <w:rPr>
                        <w:rFonts w:ascii="Cambria Math" w:hAnsi="Cambria Math"/>
                      </w:rPr>
                      <m:t xml:space="preserve">h</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e>
                </m:d>
              </m:num>
              <m:den>
                <m:sSub>
                  <m:e>
                    <m:r>
                      <w:rPr>
                        <w:rFonts w:ascii="Cambria Math" w:hAnsi="Cambria Math"/>
                      </w:rPr>
                      <m:t xml:space="preserve">µ</m:t>
                    </m:r>
                  </m:e>
                  <m:sub>
                    <m:r>
                      <w:rPr>
                        <w:rFonts w:ascii="Cambria Math" w:hAnsi="Cambria Math"/>
                      </w:rPr>
                      <m:t xml:space="preserve">eff</m:t>
                    </m:r>
                  </m:sub>
                </m:sSub>
                <m:sSub>
                  <m:e>
                    <m:r>
                      <m:rPr>
                        <m:lit/>
                        <m:nor/>
                      </m:rPr>
                      <w:rPr>
                        <w:rFonts w:ascii="Cambria Math" w:hAnsi="Cambria Math"/>
                      </w:rPr>
                      <m:t xml:space="preserve"> </m:t>
                    </m:r>
                    <m:r>
                      <m:rPr>
                        <m:lit/>
                        <m:nor/>
                      </m:rPr>
                      <w:rPr>
                        <w:rFonts w:ascii="Cambria Math" w:hAnsi="Cambria Math"/>
                      </w:rPr>
                      <m:t xml:space="preserve">α</m:t>
                    </m:r>
                  </m:e>
                  <m:sub>
                    <m:r>
                      <w:rPr>
                        <w:rFonts w:ascii="Cambria Math" w:hAnsi="Cambria Math"/>
                      </w:rPr>
                      <m:t xml:space="preserve">f</m:t>
                    </m:r>
                  </m:sub>
                </m:sSub>
              </m:den>
            </m:f>
            <m:r>
              <m:rPr>
                <m:lit/>
                <m:nor/>
              </m:rPr>
              <w:rPr>
                <w:rFonts w:ascii="Cambria Math" w:hAnsi="Cambria Math"/>
              </w:rPr>
              <m:t xml:space="preserve">,  Pr = </m:t>
            </m:r>
            <m:f>
              <m:num>
                <m:sSub>
                  <m:e>
                    <m:r>
                      <w:rPr>
                        <w:rFonts w:ascii="Cambria Math" w:hAnsi="Cambria Math"/>
                      </w:rPr>
                      <m:t xml:space="preserve">µ</m:t>
                    </m:r>
                  </m:e>
                  <m:sub>
                    <m:r>
                      <w:rPr>
                        <w:rFonts w:ascii="Cambria Math" w:hAnsi="Cambria Math"/>
                      </w:rPr>
                      <m:t xml:space="preserve">eff</m:t>
                    </m:r>
                  </m:sub>
                </m:sSub>
              </m:num>
              <m:den>
                <m:sSub>
                  <m:e>
                    <m:r>
                      <w:rPr>
                        <w:rFonts w:ascii="Cambria Math" w:hAnsi="Cambria Math"/>
                      </w:rPr>
                      <m:t xml:space="preserve">ρ</m:t>
                    </m:r>
                  </m:e>
                  <m:sub>
                    <m:r>
                      <w:rPr>
                        <w:rFonts w:ascii="Cambria Math" w:hAnsi="Cambria Math"/>
                      </w:rPr>
                      <m:t xml:space="preserve">f</m:t>
                    </m:r>
                  </m:sub>
                </m:sSub>
                <m:sSub>
                  <m:e>
                    <m:r>
                      <m:rPr>
                        <m:lit/>
                        <m:nor/>
                      </m:rPr>
                      <w:rPr>
                        <w:rFonts w:ascii="Cambria Math" w:hAnsi="Cambria Math"/>
                      </w:rPr>
                      <m:t xml:space="preserve">α</m:t>
                    </m:r>
                  </m:e>
                  <m:sub>
                    <m:r>
                      <w:rPr>
                        <w:rFonts w:ascii="Cambria Math" w:hAnsi="Cambria Math"/>
                      </w:rPr>
                      <m:t xml:space="preserve">f</m:t>
                    </m:r>
                  </m:sub>
                </m:sSub>
              </m:den>
            </m:f>
            <m:d>
              <m:dPr>
                <m:begChr m:val="("/>
                <m:endChr m:val=")"/>
              </m:dPr>
              <m:e>
                <m:r>
                  <w:rPr>
                    <w:rFonts w:ascii="Cambria Math" w:hAnsi="Cambria Math"/>
                  </w:rPr>
                  <m:t xml:space="preserve">6</m:t>
                </m:r>
              </m:e>
            </m:d>
          </m:e>
        </m:eqArr>
      </m:oMath>
    </w:p>
    <w:p>
      <w:pPr>
        <w:pStyle w:val="Normal"/>
        <w:widowControl w:val="false"/>
        <w:snapToGrid w:val="false"/>
        <w:ind w:firstLine="426"/>
        <w:rPr>
          <w:color w:val="000000" w:themeColor="text1"/>
          <w:szCs w:val="22"/>
        </w:rPr>
      </w:pPr>
      <w:r>
        <w:rPr>
          <w:color w:val="000000" w:themeColor="text1"/>
          <w:szCs w:val="22"/>
        </w:rPr>
        <w:t xml:space="preserve">The thermo-physical characteristics of the nanofluid are determined using conventional models reported in the literature </w:t>
      </w:r>
      <w:sdt>
        <w:sdtPr>
          <w:id w:val="634193182"/>
        </w:sdtPr>
        <w:sdtContent>
          <w:r>
            <w:rPr>
              <w:color w:val="000000"/>
              <w:szCs w:val="22"/>
            </w:rPr>
            <w:t>[</w:t>
          </w:r>
          <w:r>
            <w:rPr>
              <w:color w:val="5B9BD5" w:themeColor="accent5"/>
              <w:szCs w:val="22"/>
            </w:rPr>
            <w:t>34</w:t>
          </w:r>
          <w:r>
            <w:rPr>
              <w:color w:val="000000"/>
              <w:szCs w:val="22"/>
            </w:rPr>
            <w:t>,</w:t>
          </w:r>
          <w:r>
            <w:rPr>
              <w:color w:val="5B9BD5" w:themeColor="accent5"/>
              <w:szCs w:val="22"/>
            </w:rPr>
            <w:t>35</w:t>
          </w:r>
          <w:r>
            <w:rPr>
              <w:color w:val="000000"/>
              <w:szCs w:val="22"/>
            </w:rPr>
            <w:t>]</w:t>
          </w:r>
        </w:sdtContent>
      </w:sdt>
      <w:r>
        <w:rPr>
          <w:color w:val="000000" w:themeColor="text1"/>
          <w:szCs w:val="22"/>
        </w:rPr>
        <w:t xml:space="preserve"> </w:t>
      </w:r>
      <w:r>
        <w:rPr>
          <w:color w:val="000000" w:themeColor="text1"/>
          <w:szCs w:val="22"/>
        </w:rPr>
        <w:t>as follows:</w:t>
      </w:r>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ρ</m:t>
                </m:r>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r>
                  <w:rPr>
                    <w:rFonts w:ascii="Cambria Math" w:hAnsi="Cambria Math"/>
                  </w:rPr>
                  <m:t xml:space="preserve">ρ</m:t>
                </m:r>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r>
                  <w:rPr>
                    <w:rFonts w:ascii="Cambria Math" w:hAnsi="Cambria Math"/>
                  </w:rPr>
                  <m:t xml:space="preserve">ρ</m:t>
                </m:r>
              </m:e>
              <m:sub>
                <m:r>
                  <w:rPr>
                    <w:rFonts w:ascii="Cambria Math" w:hAnsi="Cambria Math"/>
                  </w:rPr>
                  <m:t xml:space="preserve">p</m:t>
                </m:r>
              </m:sub>
            </m:sSub>
          </m:e>
          <m:e>
            <m:d>
              <m:dPr>
                <m:begChr m:val="("/>
                <m:endChr m:val=")"/>
              </m:dPr>
              <m:e>
                <m:r>
                  <w:rPr>
                    <w:rFonts w:ascii="Cambria Math" w:hAnsi="Cambria Math"/>
                  </w:rPr>
                  <m:t xml:space="preserve">7</m:t>
                </m:r>
              </m:e>
            </m:d>
          </m:e>
        </m:eqArr>
      </m:oMath>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p</m:t>
                </m:r>
              </m:sub>
            </m:sSub>
          </m:e>
          <m:e>
            <m:d>
              <m:dPr>
                <m:begChr m:val="("/>
                <m:endChr m:val=")"/>
              </m:dPr>
              <m:e>
                <m:r>
                  <w:rPr>
                    <w:rFonts w:ascii="Cambria Math" w:hAnsi="Cambria Math"/>
                  </w:rPr>
                  <m:t xml:space="preserve">8</m:t>
                </m:r>
              </m:e>
            </m:d>
          </m:e>
        </m:eqArr>
      </m:oMath>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ρβ</m:t>
                    </m:r>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ρβ</m:t>
                    </m:r>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ρβ</m:t>
                    </m:r>
                  </m:e>
                </m:d>
              </m:e>
              <m:sub>
                <m:r>
                  <w:rPr>
                    <w:rFonts w:ascii="Cambria Math" w:hAnsi="Cambria Math"/>
                  </w:rPr>
                  <m:t xml:space="preserve">p</m:t>
                </m:r>
              </m:sub>
            </m:sSub>
          </m:e>
          <m:e>
            <m:d>
              <m:dPr>
                <m:begChr m:val="("/>
                <m:endChr m:val=")"/>
              </m:dPr>
              <m:e>
                <m:r>
                  <w:rPr>
                    <w:rFonts w:ascii="Cambria Math" w:hAnsi="Cambria Math"/>
                  </w:rPr>
                  <m:t xml:space="preserve">9</m:t>
                </m:r>
              </m:e>
            </m:d>
          </m:e>
        </m:eqArr>
      </m:oMath>
    </w:p>
    <w:p>
      <w:pPr>
        <w:pStyle w:val="Normal"/>
        <w:widowControl w:val="false"/>
        <w:snapToGrid w:val="false"/>
        <w:ind w:firstLine="426"/>
        <w:rPr>
          <w:color w:val="000000" w:themeColor="text1"/>
          <w:szCs w:val="22"/>
        </w:rPr>
      </w:pPr>
      <w:r>
        <w:rPr>
          <w:color w:val="000000" w:themeColor="text1"/>
          <w:szCs w:val="22"/>
        </w:rPr>
        <w:t xml:space="preserve">The nonofluid’s density, specific heat, thermal expansion coefficient, and thermal diffusivity are represented by </w:t>
      </w:r>
      <w:r>
        <w:rPr/>
      </w:r>
      <m:oMath xmlns:m="http://schemas.openxmlformats.org/officeDocument/2006/math">
        <m:r>
          <w:rPr>
            <w:rFonts w:ascii="Cambria Math" w:hAnsi="Cambria Math"/>
          </w:rPr>
          <m:t xml:space="preserve">ρ</m:t>
        </m:r>
      </m:oMath>
      <w:r>
        <w:rPr>
          <w:color w:val="000000" w:themeColor="text1"/>
          <w:szCs w:val="22"/>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szCs w:val="22"/>
        </w:rPr>
        <w:t xml:space="preserve">, </w:t>
      </w:r>
      <w:r>
        <w:rPr/>
      </w:r>
      <m:oMath xmlns:m="http://schemas.openxmlformats.org/officeDocument/2006/math">
        <m:r>
          <w:rPr>
            <w:rFonts w:ascii="Cambria Math" w:hAnsi="Cambria Math"/>
          </w:rPr>
          <m:t xml:space="preserve">β</m:t>
        </m:r>
      </m:oMath>
      <w:r>
        <w:rPr>
          <w:color w:val="000000" w:themeColor="text1"/>
          <w:szCs w:val="22"/>
        </w:rPr>
        <w:t xml:space="preserve">, and </w:t>
      </w:r>
      <w:r>
        <w:rPr/>
      </w:r>
      <m:oMath xmlns:m="http://schemas.openxmlformats.org/officeDocument/2006/math">
        <m:r>
          <w:rPr>
            <w:rFonts w:ascii="Cambria Math" w:hAnsi="Cambria Math"/>
          </w:rPr>
          <m:t xml:space="preserve">α</m:t>
        </m:r>
      </m:oMath>
      <w:r>
        <w:rPr>
          <w:color w:val="000000" w:themeColor="text1"/>
          <w:szCs w:val="22"/>
        </w:rPr>
        <w:t xml:space="preserve">, respectively. The nanoparticle volume fraction is denominated by </w:t>
      </w:r>
      <w:r>
        <w:rPr/>
      </w:r>
      <m:oMath xmlns:m="http://schemas.openxmlformats.org/officeDocument/2006/math">
        <m:r>
          <w:rPr>
            <w:rFonts w:ascii="Cambria Math" w:hAnsi="Cambria Math"/>
          </w:rPr>
          <m:t xml:space="preserve">φ</m:t>
        </m:r>
      </m:oMath>
      <w:r>
        <w:rPr>
          <w:color w:val="000000" w:themeColor="text1"/>
          <w:szCs w:val="22"/>
        </w:rPr>
        <w:t xml:space="preserve">, while the subscripts </w:t>
      </w:r>
      <w:r>
        <w:rPr/>
      </w:r>
      <m:oMath xmlns:m="http://schemas.openxmlformats.org/officeDocument/2006/math">
        <m:r>
          <w:rPr>
            <w:rFonts w:ascii="Cambria Math" w:hAnsi="Cambria Math"/>
          </w:rPr>
          <m:t xml:space="preserve">nf</m:t>
        </m:r>
      </m:oMath>
      <w:r>
        <w:rPr>
          <w:color w:val="000000" w:themeColor="text1"/>
          <w:szCs w:val="22"/>
        </w:rPr>
        <w:t xml:space="preserve">, </w:t>
      </w:r>
      <w:r>
        <w:rPr/>
      </w:r>
      <m:oMath xmlns:m="http://schemas.openxmlformats.org/officeDocument/2006/math">
        <m:r>
          <w:rPr>
            <w:rFonts w:ascii="Cambria Math" w:hAnsi="Cambria Math"/>
          </w:rPr>
          <m:t xml:space="preserve">f</m:t>
        </m:r>
      </m:oMath>
      <w:r>
        <w:rPr>
          <w:color w:val="000000" w:themeColor="text1"/>
          <w:szCs w:val="22"/>
        </w:rPr>
        <w:t xml:space="preserve">, and </w:t>
      </w:r>
      <w:r>
        <w:rPr/>
      </w:r>
      <m:oMath xmlns:m="http://schemas.openxmlformats.org/officeDocument/2006/math">
        <m:r>
          <w:rPr>
            <w:rFonts w:ascii="Cambria Math" w:hAnsi="Cambria Math"/>
          </w:rPr>
          <m:t xml:space="preserve">p</m:t>
        </m:r>
      </m:oMath>
      <w:r>
        <w:rPr>
          <w:color w:val="000000" w:themeColor="text1"/>
          <w:szCs w:val="22"/>
        </w:rPr>
        <w:t xml:space="preserve"> correspond to the nanofluid, base fluid, and nanoparticle, respectively. The Hamilton-Crosser model </w:t>
      </w:r>
      <w:sdt>
        <w:sdtPr>
          <w:id w:val="1966331326"/>
        </w:sdtPr>
        <w:sdtContent>
          <w:r>
            <w:rPr>
              <w:color w:val="000000"/>
              <w:szCs w:val="22"/>
            </w:rPr>
            <w:t>[</w:t>
          </w:r>
          <w:r>
            <w:rPr>
              <w:color w:val="5B9BD5" w:themeColor="accent5"/>
              <w:szCs w:val="22"/>
            </w:rPr>
            <w:t>36</w:t>
          </w:r>
          <w:r>
            <w:rPr>
              <w:color w:val="000000"/>
              <w:szCs w:val="22"/>
            </w:rPr>
            <w:t>]</w:t>
          </w:r>
        </w:sdtContent>
      </w:sdt>
      <w:r>
        <w:rPr>
          <w:color w:val="000000" w:themeColor="text1"/>
          <w:szCs w:val="22"/>
        </w:rPr>
        <w:t xml:space="preserve"> was employed to determine the effective thermal conductivity of the spherically shaped nanofluid, this model has been adopted by many researchers</w:t>
      </w:r>
      <w:r>
        <w:rPr>
          <w:color w:val="000000" w:themeColor="text1"/>
          <w:szCs w:val="22"/>
        </w:rPr>
        <w:t xml:space="preserve"> </w:t>
      </w:r>
      <w:sdt>
        <w:sdtPr>
          <w:id w:val="1592059318"/>
        </w:sdtPr>
        <w:sdtContent>
          <w:r>
            <w:rPr>
              <w:color w:val="000000"/>
              <w:szCs w:val="22"/>
            </w:rPr>
            <w:t>[</w:t>
          </w:r>
          <w:r>
            <w:rPr>
              <w:color w:val="5B9BD5" w:themeColor="accent5"/>
              <w:szCs w:val="22"/>
            </w:rPr>
            <w:t>19</w:t>
          </w:r>
          <w:r>
            <w:rPr>
              <w:color w:val="000000"/>
              <w:szCs w:val="22"/>
            </w:rPr>
            <w:t>,</w:t>
          </w:r>
          <w:r>
            <w:rPr>
              <w:color w:val="5B9BD5" w:themeColor="accent5"/>
              <w:szCs w:val="22"/>
            </w:rPr>
            <w:t>37</w:t>
          </w:r>
          <w:r>
            <w:rPr>
              <w:color w:val="000000"/>
              <w:szCs w:val="22"/>
            </w:rPr>
            <w:t>,</w:t>
          </w:r>
          <w:r>
            <w:rPr>
              <w:color w:val="5B9BD5" w:themeColor="accent5"/>
              <w:szCs w:val="22"/>
            </w:rPr>
            <w:t>38</w:t>
          </w:r>
          <w:r>
            <w:rPr>
              <w:color w:val="000000"/>
              <w:szCs w:val="22"/>
            </w:rPr>
            <w:t>]</w:t>
          </w:r>
        </w:sdtContent>
      </w:sdt>
      <w:r>
        <w:rPr>
          <w:color w:val="000000" w:themeColor="text1"/>
          <w:szCs w:val="22"/>
        </w:rPr>
        <w:t>:</w:t>
      </w:r>
    </w:p>
    <w:p>
      <w:pPr>
        <w:pStyle w:val="Normal"/>
        <w:suppressAutoHyphens w:val="true"/>
        <w:overflowPunct w:val="false"/>
        <w:spacing w:lineRule="auto" w:line="276" w:before="0" w:after="0"/>
        <w:textAlignment w:val="baseline"/>
        <w:rPr>
          <w:rFonts w:ascii="Times New Roman" w:hAnsi="Times New Roman" w:eastAsia="等线" w:cs="Times New Roman" w:asciiTheme="majorBidi" w:cstheme="majorBidi" w:eastAsiaTheme="minorEastAsia" w:hAnsiTheme="majorBidi"/>
        </w:rPr>
      </w:pPr>
      <w:r>
        <w:rPr/>
      </w:r>
      <m:oMath xmlns:m="http://schemas.openxmlformats.org/officeDocument/2006/math">
        <m:eqArr>
          <m:e>
            <m:sSub>
              <m:e>
                <m:r>
                  <w:rPr>
                    <w:rFonts w:ascii="Cambria Math" w:hAnsi="Cambria Math"/>
                  </w:rPr>
                  <m:t xml:space="preserve">k</m:t>
                </m:r>
              </m:e>
              <m:sub>
                <m:r>
                  <w:rPr>
                    <w:rFonts w:ascii="Cambria Math" w:hAnsi="Cambria Math"/>
                  </w:rPr>
                  <m:t xml:space="preserve">nf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d>
              <m:dPr>
                <m:begChr m:val="["/>
                <m:endChr m:val="]"/>
              </m:dPr>
              <m:e>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2</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num>
                  <m:den>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den>
                </m:f>
              </m:e>
            </m:d>
          </m:e>
          <m:e>
            <m:d>
              <m:dPr>
                <m:begChr m:val="("/>
                <m:endChr m:val=")"/>
              </m:dPr>
              <m:e>
                <m:r>
                  <w:rPr>
                    <w:rFonts w:ascii="Cambria Math" w:hAnsi="Cambria Math"/>
                  </w:rPr>
                  <m:t xml:space="preserve">10</m:t>
                </m:r>
              </m:e>
            </m:d>
          </m:e>
        </m:eqArr>
      </m:oMath>
    </w:p>
    <w:p>
      <w:pPr>
        <w:pStyle w:val="Normal"/>
        <w:widowControl w:val="false"/>
        <w:snapToGrid w:val="false"/>
        <w:ind w:firstLine="426"/>
        <w:rPr>
          <w:color w:val="000000" w:themeColor="text1"/>
          <w:szCs w:val="22"/>
        </w:rPr>
      </w:pPr>
      <w:r>
        <w:rPr>
          <w:color w:val="000000" w:themeColor="text1"/>
          <w:szCs w:val="22"/>
        </w:rPr>
        <w:t xml:space="preserve">The Brinkman model was used to calculate the effective dynamic viscosity of the nanofluid </w:t>
      </w:r>
      <w:r>
        <w:rPr/>
      </w:r>
      <m:oMath xmlns:m="http://schemas.openxmlformats.org/officeDocument/2006/math">
        <m:sSub>
          <m:e>
            <m:r>
              <w:rPr>
                <w:rFonts w:ascii="Cambria Math" w:hAnsi="Cambria Math"/>
              </w:rPr>
              <m:t xml:space="preserve">µ</m:t>
            </m:r>
          </m:e>
          <m:sub>
            <m:r>
              <w:rPr>
                <w:rFonts w:ascii="Cambria Math" w:hAnsi="Cambria Math"/>
              </w:rPr>
              <m:t xml:space="preserve">nf</m:t>
            </m:r>
          </m:sub>
        </m:sSub>
      </m:oMath>
      <w:r>
        <w:rPr>
          <w:color w:val="000000" w:themeColor="text1"/>
          <w:szCs w:val="22"/>
        </w:rPr>
        <w:t xml:space="preserve"> </w:t>
      </w:r>
      <w:sdt>
        <w:sdtPr>
          <w:id w:val="1876567685"/>
        </w:sdtPr>
        <w:sdtContent>
          <w:r>
            <w:rPr>
              <w:color w:val="000000"/>
              <w:szCs w:val="22"/>
            </w:rPr>
            <w:t>[</w:t>
          </w:r>
          <w:r>
            <w:rPr>
              <w:color w:val="5B9BD5" w:themeColor="accent5"/>
              <w:szCs w:val="22"/>
            </w:rPr>
            <w:t>35</w:t>
          </w:r>
          <w:r>
            <w:rPr>
              <w:color w:val="000000"/>
              <w:szCs w:val="22"/>
            </w:rPr>
            <w:t>,</w:t>
          </w:r>
          <w:r>
            <w:rPr>
              <w:color w:val="5B9BD5" w:themeColor="accent5"/>
              <w:szCs w:val="22"/>
            </w:rPr>
            <w:t>39</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µ</m:t>
                </m:r>
              </m:e>
              <m:sub>
                <m:r>
                  <w:rPr>
                    <w:rFonts w:ascii="Cambria Math" w:hAnsi="Cambria Math"/>
                  </w:rPr>
                  <m:t xml:space="preserve">nf</m:t>
                </m:r>
              </m:sub>
            </m:sSub>
            <m:r>
              <w:rPr>
                <w:rFonts w:ascii="Cambria Math" w:hAnsi="Cambria Math"/>
              </w:rPr>
              <m:t xml:space="preserve">=</m:t>
            </m:r>
            <m:f>
              <m:num>
                <m:sSub>
                  <m:e>
                    <m:r>
                      <w:rPr>
                        <w:rFonts w:ascii="Cambria Math" w:hAnsi="Cambria Math"/>
                      </w:rPr>
                      <m:t xml:space="preserve">µ</m:t>
                    </m:r>
                  </m:e>
                  <m:sub>
                    <m:r>
                      <w:rPr>
                        <w:rFonts w:ascii="Cambria Math" w:hAnsi="Cambria Math"/>
                      </w:rPr>
                      <m:t xml:space="preserve">eff</m:t>
                    </m:r>
                  </m:sub>
                </m:sSub>
              </m:num>
              <m:den>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e>
                  <m:sup>
                    <m:r>
                      <w:rPr>
                        <w:rFonts w:ascii="Cambria Math" w:hAnsi="Cambria Math"/>
                      </w:rPr>
                      <m:t xml:space="preserve">2.5</m:t>
                    </m:r>
                  </m:sup>
                </m:sSup>
              </m:den>
            </m:f>
          </m:e>
          <m:e>
            <m:d>
              <m:dPr>
                <m:begChr m:val="("/>
                <m:endChr m:val=")"/>
              </m:dPr>
              <m:e>
                <m:r>
                  <w:rPr>
                    <w:rFonts w:ascii="Cambria Math" w:hAnsi="Cambria Math"/>
                  </w:rPr>
                  <m:t xml:space="preserve">11</m:t>
                </m:r>
              </m:e>
            </m:d>
          </m:e>
        </m:eqArr>
      </m:oMath>
    </w:p>
    <w:p>
      <w:pPr>
        <w:pStyle w:val="Normal"/>
        <w:spacing w:before="240" w:after="60"/>
        <w:jc w:val="center"/>
        <w:rPr>
          <w:bCs/>
          <w:iCs/>
          <w:szCs w:val="22"/>
        </w:rPr>
      </w:pPr>
      <w:r>
        <w:rPr>
          <w:szCs w:val="22"/>
        </w:rPr>
        <w:t xml:space="preserve">Table 1: </w:t>
      </w:r>
      <w:r>
        <w:rPr>
          <w:bCs/>
          <w:szCs w:val="22"/>
        </w:rPr>
        <w:t xml:space="preserve">Thermophysical properties of pure water </w:t>
      </w:r>
      <w:r>
        <w:rPr>
          <w:bCs/>
          <w:iCs/>
          <w:szCs w:val="22"/>
        </w:rPr>
        <w:t xml:space="preserve">and nanoparticles </w:t>
      </w:r>
      <w:sdt>
        <w:sdtPr>
          <w:id w:val="363227079"/>
        </w:sdtPr>
        <w:sdtContent>
          <w:r>
            <w:rPr>
              <w:bCs/>
              <w:iCs/>
              <w:color w:val="000000"/>
              <w:szCs w:val="22"/>
            </w:rPr>
            <w:t>[</w:t>
          </w:r>
          <w:r>
            <w:rPr>
              <w:bCs/>
              <w:iCs/>
              <w:color w:val="5B9BD5" w:themeColor="accent5"/>
              <w:szCs w:val="22"/>
            </w:rPr>
            <w:t>16</w:t>
          </w:r>
          <w:r>
            <w:rPr>
              <w:bCs/>
              <w:iCs/>
              <w:color w:val="000000"/>
              <w:szCs w:val="22"/>
            </w:rPr>
            <w:t>,</w:t>
          </w:r>
          <w:r>
            <w:rPr>
              <w:bCs/>
              <w:iCs/>
              <w:color w:val="5B9BD5" w:themeColor="accent5"/>
              <w:szCs w:val="22"/>
            </w:rPr>
            <w:t>40</w:t>
          </w:r>
          <w:r>
            <w:rPr>
              <w:bCs/>
              <w:iCs/>
              <w:color w:val="000000"/>
              <w:szCs w:val="22"/>
            </w:rPr>
            <w:t>]</w:t>
          </w:r>
        </w:sdtContent>
      </w:sdt>
      <w:r>
        <w:rPr>
          <w:bCs/>
          <w:iCs/>
          <w:szCs w:val="22"/>
        </w:rPr>
        <w:t>.</w:t>
      </w:r>
    </w:p>
    <w:tbl>
      <w:tblPr>
        <w:tblStyle w:val="af2"/>
        <w:tblW w:w="8629" w:type="dxa"/>
        <w:jc w:val="left"/>
        <w:tblInd w:w="0" w:type="dxa"/>
        <w:tblCellMar>
          <w:top w:w="0" w:type="dxa"/>
          <w:left w:w="108" w:type="dxa"/>
          <w:bottom w:w="0" w:type="dxa"/>
          <w:right w:w="108" w:type="dxa"/>
        </w:tblCellMar>
        <w:tblLook w:val="04a0" w:noHBand="0" w:noVBand="1" w:firstColumn="1" w:lastRow="0" w:lastColumn="0" w:firstRow="1"/>
      </w:tblPr>
      <w:tblGrid>
        <w:gridCol w:w="1725"/>
        <w:gridCol w:w="1726"/>
        <w:gridCol w:w="1726"/>
        <w:gridCol w:w="1726"/>
        <w:gridCol w:w="1726"/>
      </w:tblGrid>
      <w:tr>
        <w:trPr/>
        <w:tc>
          <w:tcPr>
            <w:tcW w:w="1725"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等线" w:cs="Times New Roman" w:cstheme="majorBidi" w:eastAsiaTheme="minorEastAsia"/>
                <w:bCs/>
                <w:sz w:val="20"/>
              </w:rPr>
            </w:r>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ρ</m:t>
              </m:r>
              <m:d>
                <m:dPr>
                  <m:begChr m:val="("/>
                  <m:endChr m:val=")"/>
                </m:dPr>
                <m:e>
                  <m:f>
                    <m:fPr>
                      <m:type m:val="lin"/>
                    </m:fPr>
                    <m:num>
                      <m:r>
                        <w:rPr>
                          <w:rFonts w:ascii="Cambria Math" w:hAnsi="Cambria Math"/>
                        </w:rPr>
                        <m:t xml:space="preserve">kg</m:t>
                      </m:r>
                    </m:num>
                    <m:den>
                      <m:sSup>
                        <m:e>
                          <m:r>
                            <w:rPr>
                              <w:rFonts w:ascii="Cambria Math" w:hAnsi="Cambria Math"/>
                            </w:rPr>
                            <m:t xml:space="preserve">m</m:t>
                          </m:r>
                        </m:e>
                        <m:sup>
                          <m:r>
                            <w:rPr>
                              <w:rFonts w:ascii="Cambria Math" w:hAnsi="Cambria Math"/>
                            </w:rPr>
                            <m:t xml:space="preserve">3</m:t>
                          </m:r>
                        </m:sup>
                      </m:sSup>
                    </m:den>
                  </m:f>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d>
                <m:dPr>
                  <m:begChr m:val="("/>
                  <m:endChr m:val=")"/>
                </m:dPr>
                <m:e>
                  <m:f>
                    <m:fPr>
                      <m:type m:val="lin"/>
                    </m:fPr>
                    <m:num>
                      <m:r>
                        <w:rPr>
                          <w:rFonts w:ascii="Cambria Math" w:hAnsi="Cambria Math"/>
                        </w:rPr>
                        <m:t xml:space="preserve">J</m:t>
                      </m:r>
                    </m:num>
                    <m:den>
                      <m:r>
                        <w:rPr>
                          <w:rFonts w:ascii="Cambria Math" w:hAnsi="Cambria Math"/>
                        </w:rPr>
                        <m:t xml:space="preserve">kg</m:t>
                      </m:r>
                    </m:den>
                  </m:f>
                  <m:r>
                    <w:rPr>
                      <w:rFonts w:ascii="Cambria Math" w:hAnsi="Cambria Math"/>
                    </w:rPr>
                    <m:t xml:space="preserve">K</m:t>
                  </m:r>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β</m:t>
              </m:r>
              <m:d>
                <m:dPr>
                  <m:begChr m:val="("/>
                  <m:endChr m:val=")"/>
                </m:dPr>
                <m:e>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sSup>
                <m:e>
                  <m:r>
                    <w:rPr>
                      <w:rFonts w:ascii="Cambria Math" w:hAnsi="Cambria Math"/>
                    </w:rPr>
                    <m:t xml:space="preserve">10</m:t>
                  </m:r>
                </m:e>
                <m:sup>
                  <m:r>
                    <w:rPr>
                      <w:rFonts w:ascii="Cambria Math" w:hAnsi="Cambria Math"/>
                    </w:rPr>
                    <m:t xml:space="preserve">5</m:t>
                  </m:r>
                </m:sup>
              </m:sSup>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k</m:t>
              </m:r>
              <m:d>
                <m:dPr>
                  <m:begChr m:val="("/>
                  <m:endChr m:val=")"/>
                </m:dPr>
                <m:e>
                  <m:f>
                    <m:fPr>
                      <m:type m:val="lin"/>
                    </m:fPr>
                    <m:num>
                      <m:r>
                        <w:rPr>
                          <w:rFonts w:ascii="Cambria Math" w:hAnsi="Cambria Math"/>
                        </w:rPr>
                        <m:t xml:space="preserve">W</m:t>
                      </m:r>
                    </m:num>
                    <m:den>
                      <m:r>
                        <w:rPr>
                          <w:rFonts w:ascii="Cambria Math" w:hAnsi="Cambria Math"/>
                        </w:rPr>
                        <m:t xml:space="preserve">m</m:t>
                      </m:r>
                    </m:den>
                  </m:f>
                  <m:r>
                    <w:rPr>
                      <w:rFonts w:ascii="Cambria Math" w:hAnsi="Cambria Math"/>
                    </w:rPr>
                    <m:t xml:space="preserve">K</m:t>
                  </m:r>
                </m:e>
              </m:d>
            </m:oMath>
          </w:p>
        </w:tc>
      </w:tr>
      <w:tr>
        <w:trPr/>
        <w:tc>
          <w:tcPr>
            <w:tcW w:w="1725"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bookmarkStart w:id="6" w:name="_Hlk158899218"/>
            <w:r>
              <w:rPr/>
            </w:r>
            <m:oMath xmlns:m="http://schemas.openxmlformats.org/officeDocument/2006/math">
              <m:sSub>
                <m:e>
                  <m:r>
                    <w:rPr>
                      <w:rFonts w:ascii="Cambria Math" w:hAnsi="Cambria Math"/>
                    </w:rPr>
                    <m:t xml:space="preserve">H</m:t>
                  </m:r>
                </m:e>
                <m:sub>
                  <m:r>
                    <w:rPr>
                      <w:rFonts w:ascii="Cambria Math" w:hAnsi="Cambria Math"/>
                    </w:rPr>
                    <m:t xml:space="preserve">2</m:t>
                  </m:r>
                </m:sub>
              </m:sSub>
              <m:r>
                <m:rPr>
                  <m:lit/>
                  <m:nor/>
                </m:rPr>
                <w:rPr>
                  <w:rFonts w:ascii="Cambria Math" w:hAnsi="Cambria Math"/>
                </w:rPr>
                <m:t xml:space="preserve">O</m:t>
              </m:r>
            </m:oMath>
            <w:bookmarkEnd w:id="6"/>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997.1</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4179</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21</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0.613</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3970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765</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0.85</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4250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686.2</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0.9</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8.95</w:t>
            </w:r>
          </w:p>
        </w:tc>
      </w:tr>
      <w:tr>
        <w:trPr/>
        <w:tc>
          <w:tcPr>
            <w:tcW w:w="1725"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Cu</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8933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383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1.67</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400</w:t>
            </w:r>
          </w:p>
        </w:tc>
      </w:tr>
    </w:tbl>
    <w:p>
      <w:pPr>
        <w:pStyle w:val="Normal"/>
        <w:widowControl w:val="false"/>
        <w:snapToGrid w:val="false"/>
        <w:ind w:firstLine="426"/>
        <w:rPr>
          <w:color w:val="000000" w:themeColor="text1"/>
          <w:szCs w:val="22"/>
        </w:rPr>
      </w:pPr>
      <w:r>
        <w:rPr>
          <w:color w:val="000000" w:themeColor="text1"/>
          <w:szCs w:val="22"/>
        </w:rPr>
        <w:t>The non- Newtonian fluid inside the cavity obeys the Ostwald-de Waele power law model, based on the shear stress tensor:</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xx</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12</m:t>
                </m:r>
              </m:e>
            </m:d>
          </m:e>
        </m:eqArr>
      </m:oMath>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yy</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e>
            <m:d>
              <m:dPr>
                <m:begChr m:val="("/>
                <m:endChr m:val=")"/>
              </m:dPr>
              <m:e>
                <m:r>
                  <w:rPr>
                    <w:rFonts w:ascii="Cambria Math" w:hAnsi="Cambria Math"/>
                  </w:rPr>
                  <m:t xml:space="preserve">13</m:t>
                </m:r>
              </m:e>
            </m:d>
          </m:e>
        </m:eqArr>
      </m:oMath>
    </w:p>
    <w:p>
      <w:pPr>
        <w:pStyle w:val="Normal"/>
        <w:widowControl w:val="false"/>
        <w:snapToGrid w:val="false"/>
        <w:ind w:firstLine="426"/>
        <w:rPr>
          <w:color w:val="000000" w:themeColor="text1"/>
          <w:szCs w:val="22"/>
          <w:lang w:val="da-DK"/>
        </w:rPr>
      </w:pPr>
      <w:r>
        <w:rPr/>
      </w:r>
      <m:oMath xmlns:m="http://schemas.openxmlformats.org/officeDocument/2006/math">
        <m:eqArr>
          <m:e>
            <m:sSub>
              <m:e>
                <m:r>
                  <w:rPr>
                    <w:rFonts w:ascii="Cambria Math" w:hAnsi="Cambria Math"/>
                  </w:rPr>
                  <m:t xml:space="preserve">τ</m:t>
                </m:r>
              </m:e>
              <m:sub>
                <m:r>
                  <w:rPr>
                    <w:rFonts w:ascii="Cambria Math" w:hAnsi="Cambria Math"/>
                  </w:rPr>
                  <m:t xml:space="preserve">xy</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yx</m:t>
                </m:r>
              </m:sub>
            </m:sSub>
            <m:r>
              <w:rPr>
                <w:rFonts w:ascii="Cambria Math" w:hAnsi="Cambria Math"/>
              </w:rPr>
              <m:t xml:space="preserve">=</m:t>
            </m:r>
            <m:sSub>
              <m:e>
                <m:r>
                  <w:rPr>
                    <w:rFonts w:ascii="Cambria Math" w:hAnsi="Cambria Math"/>
                  </w:rPr>
                  <m:t xml:space="preserve">µ</m:t>
                </m:r>
              </m:e>
              <m:sub>
                <m:r>
                  <w:rPr>
                    <w:rFonts w:ascii="Cambria Math" w:hAnsi="Cambria Math"/>
                  </w:rPr>
                  <m:t xml:space="preserve">nf</m:t>
                </m:r>
              </m:sub>
            </m:sSub>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e>
            <m:d>
              <m:dPr>
                <m:begChr m:val="("/>
                <m:endChr m:val=")"/>
              </m:dPr>
              <m:e>
                <m:r>
                  <w:rPr>
                    <w:rFonts w:ascii="Cambria Math" w:hAnsi="Cambria Math"/>
                  </w:rPr>
                  <m:t xml:space="preserve">14</m:t>
                </m:r>
              </m:e>
            </m:d>
          </m:e>
        </m:eqArr>
      </m:oMath>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µ</m:t>
            </m:r>
          </m:e>
          <m:sub>
            <m:r>
              <w:rPr>
                <w:rFonts w:ascii="Cambria Math" w:hAnsi="Cambria Math"/>
              </w:rPr>
              <m:t xml:space="preserve">eff</m:t>
            </m:r>
          </m:sub>
        </m:sSub>
      </m:oMath>
      <w:r>
        <w:rPr>
          <w:color w:val="000000" w:themeColor="text1"/>
          <w:szCs w:val="22"/>
        </w:rPr>
        <w:t xml:space="preserve"> could be defined as follows:</w:t>
      </w:r>
    </w:p>
    <w:p>
      <w:pPr>
        <w:pStyle w:val="Normal"/>
        <w:suppressAutoHyphens w:val="true"/>
        <w:overflowPunct w:val="false"/>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μ</m:t>
                </m:r>
              </m:e>
              <m:sub>
                <m:r>
                  <w:rPr>
                    <w:rFonts w:ascii="Cambria Math" w:hAnsi="Cambria Math"/>
                  </w:rPr>
                  <m:t xml:space="preserve">eff</m:t>
                </m:r>
              </m:sub>
            </m:sSub>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15</m:t>
                </m:r>
              </m:e>
            </m:d>
          </m:e>
        </m:eqArr>
      </m:oMath>
    </w:p>
    <w:p>
      <w:pPr>
        <w:pStyle w:val="Normal"/>
        <w:widowControl w:val="false"/>
        <w:snapToGrid w:val="false"/>
        <w:ind w:firstLine="426"/>
        <w:rPr>
          <w:color w:val="000000" w:themeColor="text1"/>
          <w:szCs w:val="22"/>
        </w:rPr>
      </w:pPr>
      <w:r>
        <w:rPr>
          <w:color w:val="000000" w:themeColor="text1"/>
          <w:szCs w:val="22"/>
        </w:rPr>
        <w:t>The effective viscosity (</w:t>
      </w:r>
      <w:r>
        <w:rPr/>
      </w:r>
      <m:oMath xmlns:m="http://schemas.openxmlformats.org/officeDocument/2006/math">
        <m:sSub>
          <m:e>
            <m:r>
              <w:rPr>
                <w:rFonts w:ascii="Cambria Math" w:hAnsi="Cambria Math"/>
              </w:rPr>
              <m:t xml:space="preserve">μ</m:t>
            </m:r>
          </m:e>
          <m:sub>
            <m:r>
              <w:rPr>
                <w:rFonts w:ascii="Cambria Math" w:hAnsi="Cambria Math"/>
              </w:rPr>
              <m:t xml:space="preserve">eff</m:t>
            </m:r>
          </m:sub>
        </m:sSub>
      </m:oMath>
      <w:r>
        <w:rPr>
          <w:color w:val="000000" w:themeColor="text1"/>
          <w:szCs w:val="22"/>
        </w:rPr>
        <w:t>) and consistency index (</w:t>
      </w:r>
      <w:r>
        <w:rPr/>
      </w:r>
      <m:oMath xmlns:m="http://schemas.openxmlformats.org/officeDocument/2006/math">
        <m:r>
          <w:rPr>
            <w:rFonts w:ascii="Cambria Math" w:hAnsi="Cambria Math"/>
          </w:rPr>
          <m:t xml:space="preserve">M</m:t>
        </m:r>
      </m:oMath>
      <w:r>
        <w:rPr>
          <w:color w:val="000000" w:themeColor="text1"/>
          <w:szCs w:val="22"/>
        </w:rPr>
        <w:t>) are not intrinsic fluid properties; however, they are related to the fluid shear rate. The power-law index (</w:t>
      </w:r>
      <w:r>
        <w:rPr/>
      </w:r>
      <m:oMath xmlns:m="http://schemas.openxmlformats.org/officeDocument/2006/math">
        <m:r>
          <w:rPr>
            <w:rFonts w:ascii="Cambria Math" w:hAnsi="Cambria Math"/>
          </w:rPr>
          <m:t xml:space="preserve">n</m:t>
        </m:r>
      </m:oMath>
      <w:r>
        <w:rPr>
          <w:color w:val="000000" w:themeColor="text1"/>
          <w:szCs w:val="22"/>
        </w:rPr>
        <w:t xml:space="preserve">) is employed to describe the non-Newtonian fluid attitude. Newtonian fluids are identified when </w:t>
      </w:r>
      <w:r>
        <w:rPr/>
      </w:r>
      <m:oMath xmlns:m="http://schemas.openxmlformats.org/officeDocument/2006/math">
        <m:r>
          <w:rPr>
            <w:rFonts w:ascii="Cambria Math" w:hAnsi="Cambria Math"/>
          </w:rPr>
          <m:t xml:space="preserve">n</m:t>
        </m:r>
      </m:oMath>
      <w:r>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bar>
              <m:barPr>
                <m:pos m:val="top"/>
              </m:barPr>
              <m:e>
                <m:sSub>
                  <m:e>
                    <m:r>
                      <w:rPr>
                        <w:rFonts w:ascii="Cambria Math" w:hAnsi="Cambria Math"/>
                      </w:rPr>
                      <m:t xml:space="preserve">µ</m:t>
                    </m:r>
                  </m:e>
                  <m:sub>
                    <m:r>
                      <w:rPr>
                        <w:rFonts w:ascii="Cambria Math" w:hAnsi="Cambria Math"/>
                      </w:rPr>
                      <m:t xml:space="preserve">eff</m:t>
                    </m:r>
                  </m:sub>
                </m:sSub>
              </m:e>
            </m:bar>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16</m:t>
                </m:r>
              </m:e>
            </m:d>
          </m:e>
        </m:eqArr>
      </m:oMath>
    </w:p>
    <w:p>
      <w:pPr>
        <w:pStyle w:val="Normal"/>
        <w:widowControl w:val="false"/>
        <w:snapToGrid w:val="false"/>
        <w:ind w:firstLine="426"/>
        <w:rPr>
          <w:color w:val="000000" w:themeColor="text1"/>
          <w:szCs w:val="22"/>
        </w:rPr>
      </w:pPr>
      <w:r>
        <w:rPr>
          <w:color w:val="000000" w:themeColor="text1"/>
          <w:szCs w:val="22"/>
        </w:rPr>
        <w:t>The problem's boundary conditions, when dimensionless, are presented below:</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d>
              <m:dPr>
                <m:begChr m:val="{"/>
                <m:endChr m:val=""/>
              </m:dPr>
              <m:e>
                <m:eqAr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m:t>
                        </m:r>
                        <m:r>
                          <w:rPr>
                            <w:rFonts w:ascii="Cambria Math" w:hAnsi="Cambria Math"/>
                          </w:rPr>
                          <m:t xml:space="preserve">Ѳ</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r>
                      <w:rPr>
                        <w:rFonts w:ascii="Cambria Math" w:hAnsi="Cambria Math"/>
                      </w:rPr>
                      <m:t xml:space="preserve">Horizontal</m:t>
                    </m:r>
                    <m:r>
                      <w:rPr>
                        <w:rFonts w:ascii="Cambria Math" w:hAnsi="Cambria Math"/>
                      </w:rPr>
                      <m:t xml:space="preserve">walls</m:t>
                    </m:r>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Vertical</m:t>
                          </m:r>
                          <m:r>
                            <w:rPr>
                              <w:rFonts w:ascii="Cambria Math" w:hAnsi="Cambria Math"/>
                            </w:rPr>
                            <m:t xml:space="preserve">walls</m:t>
                          </m:r>
                        </m:e>
                      </m:mr>
                    </m:m>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At</m:t>
                          </m:r>
                          <m:r>
                            <w:rPr>
                              <w:rFonts w:ascii="Cambria Math" w:hAnsi="Cambria Math"/>
                            </w:rPr>
                            <m:t xml:space="preserve">the</m:t>
                          </m:r>
                          <m:r>
                            <w:rPr>
                              <w:rFonts w:ascii="Cambria Math" w:hAnsi="Cambria Math"/>
                            </w:rPr>
                            <m:t xml:space="preserve">fin</m:t>
                          </m:r>
                        </m:e>
                      </m:mr>
                    </m:m>
                  </m:e>
                </m:eqArr>
              </m:e>
            </m:d>
          </m:e>
          <m:e>
            <m:d>
              <m:dPr>
                <m:begChr m:val="("/>
                <m:endChr m:val=")"/>
              </m:dPr>
              <m:e>
                <m:r>
                  <w:rPr>
                    <w:rFonts w:ascii="Cambria Math" w:hAnsi="Cambria Math"/>
                  </w:rPr>
                  <m:t xml:space="preserve">17</m:t>
                </m:r>
              </m:e>
            </m:d>
          </m:e>
        </m:eqArr>
      </m:oMath>
    </w:p>
    <w:p>
      <w:pPr>
        <w:pStyle w:val="Normal"/>
        <w:widowControl w:val="false"/>
        <w:snapToGrid w:val="false"/>
        <w:ind w:firstLine="426"/>
        <w:rPr>
          <w:color w:val="000000" w:themeColor="text1"/>
          <w:szCs w:val="22"/>
        </w:rPr>
      </w:pPr>
      <w:r>
        <w:rPr>
          <w:color w:val="000000" w:themeColor="text1"/>
          <w:szCs w:val="22"/>
        </w:rPr>
        <w:t>Some relationships are conducted to clarify how Rayleigh number, Prandtl number, and power-law index influence the Nusselt number for the model of power-law fluids [</w:t>
      </w:r>
      <w:r>
        <w:rPr>
          <w:color w:val="5B9BD5" w:themeColor="accent5"/>
          <w:szCs w:val="22"/>
        </w:rPr>
        <w:t>18</w:t>
      </w:r>
      <w:r>
        <w:rPr>
          <w:color w:val="000000" w:themeColor="text1"/>
          <w:szCs w:val="22"/>
        </w:rPr>
        <w:t>].</w:t>
      </w:r>
    </w:p>
    <w:p>
      <w:pPr>
        <w:pStyle w:val="Normal"/>
        <w:suppressAutoHyphens w:val="true"/>
        <w:overflowPunct w:val="false"/>
        <w:spacing w:lineRule="auto" w:line="276" w:before="0" w:after="0"/>
        <w:textAlignment w:val="baseline"/>
        <w:rPr>
          <w:rFonts w:eastAsia="Times New Roman"/>
          <w:i/>
          <w:i/>
          <w:kern w:val="2"/>
          <w:sz w:val="18"/>
          <w:szCs w:val="18"/>
          <w:lang w:eastAsia="en-US"/>
        </w:rPr>
      </w:pPr>
      <w:r>
        <w:rPr/>
      </w:r>
      <m:oMath xmlns:m="http://schemas.openxmlformats.org/officeDocument/2006/math">
        <m:eqArr>
          <m:e>
            <m:r>
              <w:rPr>
                <w:rFonts w:ascii="Cambria Math" w:hAnsi="Cambria Math"/>
              </w:rPr>
              <m:t xml:space="preserve">Nu</m:t>
            </m:r>
            <m:f>
              <m:num>
                <m:r>
                  <w:rPr>
                    <w:rFonts w:ascii="Cambria Math" w:hAnsi="Cambria Math"/>
                  </w:rPr>
                  <m:t xml:space="preserve">h</m:t>
                </m:r>
                <m:r>
                  <w:rPr>
                    <w:rFonts w:ascii="Cambria Math" w:hAnsi="Cambria Math"/>
                  </w:rPr>
                  <m:t xml:space="preserve">.</m:t>
                </m:r>
                <m:r>
                  <w:rPr>
                    <w:rFonts w:ascii="Cambria Math" w:hAnsi="Cambria Math"/>
                  </w:rPr>
                  <m:t xml:space="preserve">L</m:t>
                </m:r>
              </m:num>
              <m:den>
                <m:sSub>
                  <m:e>
                    <m:r>
                      <w:rPr>
                        <w:rFonts w:ascii="Cambria Math" w:hAnsi="Cambria Math"/>
                      </w:rPr>
                      <m:t xml:space="preserve">k</m:t>
                    </m:r>
                  </m:e>
                  <m:sub>
                    <m:r>
                      <w:rPr>
                        <w:rFonts w:ascii="Cambria Math" w:hAnsi="Cambria Math"/>
                      </w:rPr>
                      <m:t xml:space="preserve">nf</m:t>
                    </m:r>
                  </m:sub>
                </m:sSub>
              </m:den>
            </m:f>
            <m:f>
              <m:num>
                <m:r>
                  <w:rPr>
                    <w:rFonts w:ascii="Cambria Math" w:hAnsi="Cambria Math"/>
                  </w:rPr>
                  <m:t xml:space="preserve">L</m:t>
                </m:r>
              </m:num>
              <m:den>
                <m:sSub>
                  <m:e>
                    <m:r>
                      <w:rPr>
                        <w:rFonts w:ascii="Cambria Math" w:hAnsi="Cambria Math"/>
                      </w:rPr>
                      <m:t xml:space="preserve">δ</m:t>
                    </m:r>
                  </m:e>
                  <m:sub>
                    <m:r>
                      <w:rPr>
                        <w:rFonts w:ascii="Cambria Math" w:hAnsi="Cambria Math"/>
                      </w:rPr>
                      <m:t xml:space="preserve">th</m:t>
                    </m:r>
                  </m:sub>
                </m:sSub>
              </m:den>
            </m:f>
            <m:r>
              <w:rPr>
                <w:rFonts w:ascii="Cambria Math" w:hAnsi="Cambria Math"/>
              </w:rPr>
              <m:t xml:space="preserve">∨</m:t>
            </m:r>
            <m:r>
              <w:rPr>
                <w:rFonts w:ascii="Cambria Math" w:hAnsi="Cambria Math"/>
              </w:rPr>
              <m:t xml:space="preserve">Nu</m:t>
            </m:r>
            <m:f>
              <m:num>
                <m:r>
                  <w:rPr>
                    <w:rFonts w:ascii="Cambria Math" w:hAnsi="Cambria Math"/>
                  </w:rPr>
                  <m:t xml:space="preserve">L</m:t>
                </m:r>
              </m:num>
              <m:den>
                <m:r>
                  <w:rPr>
                    <w:rFonts w:ascii="Cambria Math" w:hAnsi="Cambria Math"/>
                  </w:rPr>
                  <m:t xml:space="preserve">δ</m:t>
                </m:r>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e>
          <m:e>
            <m:d>
              <m:dPr>
                <m:begChr m:val="("/>
                <m:endChr m:val=")"/>
              </m:dPr>
              <m:e>
                <m:r>
                  <w:rPr>
                    <w:rFonts w:ascii="Cambria Math" w:hAnsi="Cambria Math"/>
                  </w:rPr>
                  <m:t xml:space="preserve">18</m:t>
                </m:r>
              </m:e>
            </m:d>
          </m:e>
        </m:eqArr>
      </m:oMath>
    </w:p>
    <w:p>
      <w:pPr>
        <w:pStyle w:val="Normal"/>
        <w:widowControl w:val="false"/>
        <w:snapToGrid w:val="false"/>
        <w:ind w:firstLine="426"/>
        <w:rPr>
          <w:color w:val="000000" w:themeColor="text1"/>
          <w:szCs w:val="22"/>
        </w:rPr>
      </w:pPr>
      <w:r>
        <w:rPr>
          <w:color w:val="000000" w:themeColor="text1"/>
          <w:szCs w:val="22"/>
        </w:rPr>
        <w:t xml:space="preserve">where the hydrodynamic and thermal boundary-layer thicknesses, </w:t>
      </w:r>
      <w:r>
        <w:rPr/>
      </w:r>
      <m:oMath xmlns:m="http://schemas.openxmlformats.org/officeDocument/2006/math">
        <m:r>
          <w:rPr>
            <w:rFonts w:ascii="Cambria Math" w:hAnsi="Cambria Math"/>
          </w:rPr>
          <m:t xml:space="preserve">δ</m:t>
        </m:r>
      </m:oMath>
      <w:r>
        <w:rPr>
          <w:color w:val="000000" w:themeColor="text1"/>
          <w:szCs w:val="22"/>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oMath>
      <w:r>
        <w:rPr>
          <w:color w:val="000000" w:themeColor="text1"/>
          <w:szCs w:val="22"/>
        </w:rPr>
        <w:t xml:space="preserve">, are related by this expression: </w:t>
      </w:r>
      <w:r>
        <w:rPr/>
      </w:r>
      <m:oMath xmlns:m="http://schemas.openxmlformats.org/officeDocument/2006/math">
        <m:f>
          <m:fPr>
            <m:type m:val="lin"/>
          </m:fPr>
          <m:num>
            <m:r>
              <w:rPr>
                <w:rFonts w:ascii="Cambria Math" w:hAnsi="Cambria Math"/>
              </w:rPr>
              <m:t xml:space="preserve">δ</m:t>
            </m:r>
          </m:num>
          <m:den>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in which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denotes a function of Rayleigh number, Prandtl number, and power-law index. A positive correlation with increasing Prandtl number is expected.</w:t>
      </w:r>
    </w:p>
    <w:p>
      <w:pPr>
        <w:pStyle w:val="Normal"/>
        <w:widowControl w:val="false"/>
        <w:snapToGrid w:val="false"/>
        <w:ind w:firstLine="426"/>
        <w:rPr>
          <w:color w:val="000000" w:themeColor="text1"/>
          <w:szCs w:val="22"/>
        </w:rPr>
      </w:pPr>
      <w:r>
        <w:rPr>
          <w:color w:val="000000" w:themeColor="text1"/>
          <w:szCs w:val="22"/>
        </w:rPr>
        <w:t>The average Nusselt number is expressed by:</w:t>
      </w:r>
    </w:p>
    <w:p>
      <w:pPr>
        <w:pStyle w:val="Normal"/>
        <w:suppressAutoHyphens w:val="true"/>
        <w:overflowPunct w:val="false"/>
        <w:spacing w:lineRule="auto" w:line="276" w:before="0" w:after="0"/>
        <w:textAlignment w:val="baseline"/>
        <w:rPr>
          <w:rFonts w:eastAsia="Times New Roman"/>
          <w:i/>
          <w:i/>
          <w:kern w:val="2"/>
          <w:sz w:val="18"/>
          <w:szCs w:val="18"/>
          <w:lang w:eastAsia="en-US"/>
        </w:rPr>
      </w:pPr>
      <w:r>
        <w:rPr/>
      </w:r>
      <m:oMath xmlns:m="http://schemas.openxmlformats.org/officeDocument/2006/math">
        <m:eqArr>
          <m:e>
            <m:bar>
              <m:barPr>
                <m:pos m:val="top"/>
              </m:barPr>
              <m:e>
                <m:r>
                  <w:rPr>
                    <w:rFonts w:ascii="Cambria Math" w:hAnsi="Cambria Math"/>
                  </w:rPr>
                  <m:t xml:space="preserve">Nu</m:t>
                </m:r>
              </m:e>
            </m:bar>
            <m:sSup>
              <m:e>
                <m:d>
                  <m:dPr>
                    <m:begChr m:val="("/>
                    <m:endChr m:val=")"/>
                  </m:dPr>
                  <m:e>
                    <m:sSup>
                      <m:e>
                        <m:r>
                          <w:rPr>
                            <w:rFonts w:ascii="Cambria Math" w:hAnsi="Cambria Math"/>
                          </w:rPr>
                          <m:t xml:space="preserve">Ra</m:t>
                        </m:r>
                      </m:e>
                      <m:sup>
                        <m:r>
                          <w:rPr>
                            <w:rFonts w:ascii="Cambria Math" w:hAnsi="Cambria Math"/>
                          </w:rPr>
                          <m:t xml:space="preserve">2</m:t>
                        </m:r>
                        <m:r>
                          <w:rPr>
                            <w:rFonts w:ascii="Cambria Math" w:hAnsi="Cambria Math"/>
                          </w:rPr>
                          <m:t xml:space="preserve">−</m:t>
                        </m:r>
                        <m:r>
                          <w:rPr>
                            <w:rFonts w:ascii="Cambria Math" w:hAnsi="Cambria Math"/>
                          </w:rPr>
                          <m:t xml:space="preserve">n</m:t>
                        </m:r>
                      </m:sup>
                    </m:sSup>
                    <m:sSup>
                      <m:e>
                        <m:r>
                          <w:rPr>
                            <w:rFonts w:ascii="Cambria Math" w:hAnsi="Cambria Math"/>
                          </w:rPr>
                          <m:t xml:space="preserve">Pr</m:t>
                        </m:r>
                      </m:e>
                      <m:sup>
                        <m:r>
                          <w:rPr>
                            <w:rFonts w:ascii="Cambria Math" w:hAnsi="Cambria Math"/>
                          </w:rPr>
                          <m:t xml:space="preserve">−</m:t>
                        </m:r>
                        <m:r>
                          <w:rPr>
                            <w:rFonts w:ascii="Cambria Math" w:hAnsi="Cambria Math"/>
                          </w:rPr>
                          <m:t xml:space="preserve">n</m:t>
                        </m:r>
                      </m:sup>
                    </m:sSup>
                  </m:e>
                </m:d>
              </m:e>
              <m:sup>
                <m:f>
                  <m:num>
                    <m:r>
                      <w:rPr>
                        <w:rFonts w:ascii="Cambria Math" w:hAnsi="Cambria Math"/>
                      </w:rPr>
                      <m:t xml:space="preserve">1</m:t>
                    </m:r>
                  </m:num>
                  <m:den>
                    <m:r>
                      <w:rPr>
                        <w:rFonts w:ascii="Cambria Math" w:hAnsi="Cambria Math"/>
                      </w:rPr>
                      <m:t xml:space="preserve">2</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den>
                </m:f>
              </m:sup>
            </m:sSup>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r>
              <w:rPr>
                <w:rFonts w:ascii="Cambria Math" w:hAnsi="Cambria Math"/>
              </w:rPr>
              <m:t xml:space="preserve">when</m:t>
            </m:r>
            <m:bar>
              <m:barPr>
                <m:pos m:val="top"/>
              </m:barPr>
              <m:e>
                <m:r>
                  <w:rPr>
                    <w:rFonts w:ascii="Cambria Math" w:hAnsi="Cambria Math"/>
                  </w:rPr>
                  <m:t xml:space="preserve">Nu</m:t>
                </m:r>
              </m:e>
            </m:bar>
            <m:r>
              <w:rPr>
                <w:rFonts w:ascii="Cambria Math" w:hAnsi="Cambria Math"/>
              </w:rPr>
              <m:t xml:space="preserve">&gt;</m:t>
            </m:r>
            <m:r>
              <w:rPr>
                <w:rFonts w:ascii="Cambria Math" w:hAnsi="Cambria Math"/>
              </w:rPr>
              <m:t xml:space="preserve">1</m:t>
            </m:r>
          </m:e>
          <m:e>
            <m:d>
              <m:dPr>
                <m:begChr m:val="("/>
                <m:endChr m:val=")"/>
              </m:dPr>
              <m:e>
                <m:r>
                  <w:rPr>
                    <w:rFonts w:ascii="Cambria Math" w:hAnsi="Cambria Math"/>
                  </w:rPr>
                  <m:t xml:space="preserve">19</m:t>
                </m:r>
              </m:e>
            </m:d>
          </m:e>
        </m:eqArr>
      </m:oMath>
    </w:p>
    <w:p>
      <w:pPr>
        <w:pStyle w:val="Normal"/>
        <w:widowControl w:val="false"/>
        <w:snapToGrid w:val="false"/>
        <w:spacing w:before="240" w:after="60"/>
        <w:rPr>
          <w:b/>
          <w:b/>
          <w:i/>
          <w:i/>
          <w:color w:val="000000" w:themeColor="text1"/>
          <w:szCs w:val="22"/>
        </w:rPr>
      </w:pPr>
      <w:r>
        <w:rPr>
          <w:b/>
          <w:color w:val="000000" w:themeColor="text1"/>
          <w:szCs w:val="22"/>
        </w:rPr>
        <w:t xml:space="preserve">3 </w:t>
      </w:r>
      <w:r>
        <w:rPr>
          <w:b/>
          <w:bCs/>
          <w:szCs w:val="22"/>
        </w:rPr>
        <w:t>Numerical methodology and validation</w:t>
      </w:r>
    </w:p>
    <w:p>
      <w:pPr>
        <w:pStyle w:val="Normal"/>
        <w:ind w:firstLine="440"/>
        <w:rPr>
          <w:color w:val="000000" w:themeColor="text1"/>
        </w:rPr>
      </w:pPr>
      <w:r>
        <w:rPr>
          <w:color w:val="000000" w:themeColor="text1"/>
        </w:rPr>
        <w:t xml:space="preserve">Numerical solutions for the </w:t>
      </w:r>
      <w:r>
        <w:rPr>
          <w:color w:val="5B9BD5" w:themeColor="accent5"/>
        </w:rPr>
        <w:t>Eqs</w:t>
      </w:r>
      <w:r>
        <w:rPr>
          <w:color w:val="000000" w:themeColor="text1"/>
        </w:rPr>
        <w:t xml:space="preserve">. </w:t>
      </w:r>
      <w:r>
        <w:rPr>
          <w:color w:val="5B9BD5" w:themeColor="accent5"/>
        </w:rPr>
        <w:t>(1</w:t>
      </w:r>
      <w:r>
        <w:rPr>
          <w:color w:val="000000" w:themeColor="text1"/>
        </w:rPr>
        <w:t xml:space="preserve"> – </w:t>
      </w:r>
      <w:r>
        <w:rPr>
          <w:color w:val="5B9BD5" w:themeColor="accent5"/>
        </w:rPr>
        <w:t>4)</w:t>
      </w:r>
      <w:r>
        <w:rPr>
          <w:color w:val="000000" w:themeColor="text1"/>
        </w:rPr>
        <w:t>, considering the initial and boundary conditions (</w:t>
      </w:r>
      <w:r>
        <w:rPr>
          <w:color w:val="5B9BD5" w:themeColor="accent5"/>
        </w:rPr>
        <w:t>17</w:t>
      </w:r>
      <w:r>
        <w:rPr>
          <w:color w:val="000000" w:themeColor="text1"/>
        </w:rPr>
        <w:t>), were computed employing COMSOL, a partial differential equations (PDEs) solver that utilizes the Galerkin weighted residual finite element approach is adapted. The flow is laminar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p>
    <w:p>
      <w:pPr>
        <w:pStyle w:val="Normal"/>
        <w:ind w:firstLine="440"/>
        <w:rPr>
          <w:rFonts w:eastAsia="Times New Roman"/>
          <w:kern w:val="2"/>
          <w:szCs w:val="22"/>
          <w:lang w:eastAsia="en-US"/>
        </w:rPr>
      </w:pPr>
      <w:r>
        <w:rPr>
          <w:rFonts w:eastAsia="Times New Roman"/>
          <w:kern w:val="2"/>
          <w:szCs w:val="22"/>
          <w:lang w:eastAsia="en-US"/>
        </w:rPr>
        <w:t xml:space="preserve">The stream function equation is solved using the Poisson's equation: </w:t>
      </w:r>
    </w:p>
    <w:p>
      <w:pPr>
        <w:pStyle w:val="Normal"/>
        <w:suppressAutoHyphens w:val="true"/>
        <w:overflowPunct w:val="false"/>
        <w:spacing w:lineRule="auto" w:line="276" w:before="0" w:after="0"/>
        <w:textAlignment w:val="baseline"/>
        <w:rPr>
          <w:rFonts w:eastAsia="Times New Roman"/>
          <w:iCs/>
          <w:kern w:val="2"/>
          <w:sz w:val="18"/>
          <w:szCs w:val="18"/>
          <w:lang w:eastAsia="en-US"/>
        </w:rPr>
      </w:pPr>
      <w:r>
        <w:rPr/>
      </w:r>
      <m:oMath xmlns:m="http://schemas.openxmlformats.org/officeDocument/2006/math">
        <m:eqAr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20</m:t>
                </m:r>
              </m:e>
            </m:d>
          </m:e>
        </m:eqArr>
      </m:oMath>
    </w:p>
    <w:p>
      <w:pPr>
        <w:pStyle w:val="Normal"/>
        <w:ind w:firstLine="440"/>
        <w:rPr>
          <w:rFonts w:eastAsia="Times New Roman"/>
          <w:kern w:val="2"/>
          <w:szCs w:val="22"/>
          <w:lang w:eastAsia="en-US"/>
        </w:rPr>
      </w:pPr>
      <w:r>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等线" w:eastAsiaTheme="minorEastAsia"/>
          <w:kern w:val="2"/>
          <w:szCs w:val="22"/>
        </w:rPr>
        <w:t xml:space="preserve">in </w:t>
      </w:r>
      <w:r>
        <w:rPr>
          <w:rFonts w:eastAsia="等线" w:eastAsiaTheme="minorEastAsia"/>
          <w:color w:val="5B9BD5" w:themeColor="accent5"/>
          <w:kern w:val="2"/>
          <w:szCs w:val="22"/>
        </w:rPr>
        <w:t>Table 2</w:t>
      </w:r>
      <w:r>
        <w:rPr>
          <w:rFonts w:eastAsia="Times New Roman"/>
          <w:kern w:val="2"/>
          <w:szCs w:val="22"/>
          <w:lang w:eastAsia="en-US"/>
        </w:rPr>
        <w:t>:</w:t>
      </w:r>
    </w:p>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rPr>
      </w:pPr>
      <w:r>
        <w:rPr>
          <w:rFonts w:eastAsia="等线" w:cs="Times New Roman" w:cstheme="majorBidi" w:eastAsiaTheme="minorEastAsia"/>
          <w:b/>
          <w:bCs/>
        </w:rPr>
        <w:t>Table 2:</w:t>
      </w:r>
      <w:r>
        <w:rPr>
          <w:rFonts w:eastAsia="等线" w:cs="Times New Roman" w:cstheme="majorBidi" w:eastAsiaTheme="minorEastAsia"/>
        </w:rPr>
        <w:t xml:space="preserve"> Grid test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eastAsia="等线" w:cs="Times New Roman" w:cstheme="majorBidi" w:eastAsiaTheme="minorEastAsia"/>
        </w:rPr>
        <w:t xml:space="preserve"> with various grid sizes at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r>
        <w:rPr>
          <w:rFonts w:eastAsia="等线" w:cs="Times New Roman" w:cstheme="majorBidi" w:eastAsiaTheme="minorEastAsia"/>
        </w:rPr>
        <w:t xml:space="preserve"> and </w:t>
      </w:r>
      <w:r>
        <w:rPr/>
      </w:r>
      <m:oMath xmlns:m="http://schemas.openxmlformats.org/officeDocument/2006/math">
        <m:r>
          <m:rPr>
            <m:lit/>
            <m:nor/>
          </m:rPr>
          <w:rPr>
            <w:rFonts w:ascii="Cambria Math" w:hAnsi="Cambria Math"/>
          </w:rPr>
          <m:t xml:space="preserve">φ</m:t>
        </m:r>
        <m:r>
          <m:rPr>
            <m:lit/>
            <m:nor/>
          </m:rPr>
          <w:rPr>
            <w:rFonts w:ascii="Cambria Math" w:hAnsi="Cambria Math"/>
          </w:rPr>
          <m:t xml:space="preserve"> = 0.02</m:t>
        </m:r>
      </m:oMath>
      <w:r>
        <w:rPr>
          <w:rFonts w:eastAsia="等线" w:cs="Times New Roman" w:cstheme="majorBidi" w:eastAsiaTheme="minorEastAsia"/>
        </w:rPr>
        <w:t>.</w:t>
      </w:r>
    </w:p>
    <w:tbl>
      <w:tblPr>
        <w:tblStyle w:val="af2"/>
        <w:tblW w:w="4252" w:type="dxa"/>
        <w:jc w:val="left"/>
        <w:tblInd w:w="3009" w:type="dxa"/>
        <w:tblCellMar>
          <w:top w:w="0" w:type="dxa"/>
          <w:left w:w="108" w:type="dxa"/>
          <w:bottom w:w="0" w:type="dxa"/>
          <w:right w:w="108" w:type="dxa"/>
        </w:tblCellMar>
        <w:tblLook w:val="04a0" w:noHBand="0" w:noVBand="1" w:firstColumn="1" w:lastRow="0" w:lastColumn="0" w:firstRow="1"/>
      </w:tblPr>
      <w:tblGrid>
        <w:gridCol w:w="2126"/>
        <w:gridCol w:w="2125"/>
      </w:tblGrid>
      <w:tr>
        <w:trPr>
          <w:trHeight w:val="290" w:hRule="atLeast"/>
        </w:trPr>
        <w:tc>
          <w:tcPr>
            <w:tcW w:w="2126" w:type="dxa"/>
            <w:tcBorders>
              <w:top w:val="single" w:sz="12" w:space="0" w:color="000000"/>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c>
          <w:tcPr>
            <w:tcW w:w="2125" w:type="dxa"/>
            <w:tcBorders>
              <w:top w:val="single" w:sz="12" w:space="0" w:color="000000"/>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Grid type</w:t>
            </w:r>
          </w:p>
        </w:tc>
      </w:tr>
      <w:tr>
        <w:trPr>
          <w:trHeight w:val="290" w:hRule="atLeast"/>
        </w:trPr>
        <w:tc>
          <w:tcPr>
            <w:tcW w:w="2126" w:type="dxa"/>
            <w:tcBorders>
              <w:top w:val="single" w:sz="12" w:space="0" w:color="000000"/>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9.4381</w:t>
            </w:r>
          </w:p>
        </w:tc>
        <w:tc>
          <w:tcPr>
            <w:tcW w:w="2125" w:type="dxa"/>
            <w:tcBorders>
              <w:top w:val="single" w:sz="12" w:space="0" w:color="000000"/>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Coarse</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9.5760</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Normal</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9.6617</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9.8318</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Finer</w:t>
            </w:r>
          </w:p>
        </w:tc>
      </w:tr>
      <w:tr>
        <w:trPr>
          <w:trHeight w:val="168" w:hRule="atLeast"/>
        </w:trPr>
        <w:tc>
          <w:tcPr>
            <w:tcW w:w="2126" w:type="dxa"/>
            <w:tcBorders>
              <w:top w:val="nil"/>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10.011</w:t>
            </w:r>
          </w:p>
        </w:tc>
        <w:tc>
          <w:tcPr>
            <w:tcW w:w="2125" w:type="dxa"/>
            <w:tcBorders>
              <w:top w:val="nil"/>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Extra fine</w:t>
            </w:r>
          </w:p>
        </w:tc>
      </w:tr>
    </w:tbl>
    <w:p>
      <w:pPr>
        <w:pStyle w:val="Normal"/>
        <w:ind w:firstLine="440"/>
        <w:rPr>
          <w:rFonts w:eastAsia="Times New Roman"/>
          <w:kern w:val="2"/>
          <w:szCs w:val="22"/>
          <w:lang w:eastAsia="en-US"/>
        </w:rPr>
      </w:pPr>
      <w:r>
        <w:rPr>
          <w:rFonts w:eastAsia="Times New Roman"/>
          <w:kern w:val="2"/>
          <w:szCs w:val="22"/>
          <w:lang w:eastAsia="en-US"/>
        </w:rPr>
        <w:t>The extra fine grid type of 16630 elements is chosen to accurately resolve the governing equations and the local-average heat transfer.</w:t>
      </w:r>
    </w:p>
    <w:p>
      <w:pPr>
        <w:pStyle w:val="Normal"/>
        <w:ind w:firstLine="440"/>
        <w:rPr>
          <w:rFonts w:ascii="Times New Roman" w:hAnsi="Times New Roman" w:cs="Times New Roman" w:asciiTheme="majorBidi" w:cstheme="majorBidi" w:hAnsiTheme="majorBidi"/>
          <w:szCs w:val="22"/>
        </w:rPr>
      </w:pPr>
      <w:r>
        <w:rPr>
          <w:rFonts w:eastAsia="Times New Roman"/>
          <w:kern w:val="2"/>
          <w:szCs w:val="22"/>
          <w:lang w:eastAsia="en-US"/>
        </w:rPr>
        <w:t xml:space="preserve">To verify the numerical outcomes accuracy found in the current investigation, a comparison was conducted between quantitative results (mean Nusselt number and the maximum of streamlines) and qualitative aspects ( isotherms and streamlines behaviors) </w:t>
      </w:r>
      <w:bookmarkStart w:id="7" w:name="_Hlk165373654"/>
      <w:r>
        <w:rPr>
          <w:rFonts w:eastAsia="Times New Roman"/>
          <w:kern w:val="2"/>
          <w:szCs w:val="22"/>
          <w:lang w:eastAsia="en-US"/>
        </w:rPr>
        <w:t xml:space="preserve">(as illustrated in </w:t>
      </w:r>
      <w:r>
        <w:rPr>
          <w:rFonts w:eastAsia="Times New Roman"/>
          <w:color w:val="5B9BD5" w:themeColor="accent5"/>
          <w:kern w:val="2"/>
          <w:szCs w:val="22"/>
          <w:lang w:eastAsia="en-US"/>
        </w:rPr>
        <w:t xml:space="preserve">Fig. 2 </w:t>
      </w:r>
      <w:r>
        <w:rPr>
          <w:rFonts w:eastAsia="Times New Roman"/>
          <w:kern w:val="2"/>
          <w:szCs w:val="22"/>
          <w:lang w:eastAsia="en-US"/>
        </w:rPr>
        <w:t>of the current work)</w:t>
      </w:r>
      <w:bookmarkEnd w:id="7"/>
      <w:r>
        <w:rPr>
          <w:rFonts w:eastAsia="Times New Roman"/>
          <w:kern w:val="2"/>
          <w:szCs w:val="22"/>
          <w:lang w:eastAsia="en-US"/>
        </w:rPr>
        <w:t xml:space="preserve"> with those reported by Ghasemi et al. [</w:t>
      </w:r>
      <w:r>
        <w:rPr>
          <w:rFonts w:eastAsia="Times New Roman"/>
          <w:color w:val="5B9BD5" w:themeColor="accent5"/>
          <w:kern w:val="2"/>
          <w:szCs w:val="22"/>
          <w:lang w:eastAsia="en-US"/>
        </w:rPr>
        <w:t>39</w:t>
      </w:r>
      <w:r>
        <w:rPr>
          <w:rFonts w:eastAsia="Times New Roman"/>
          <w:kern w:val="2"/>
          <w:szCs w:val="22"/>
          <w:lang w:eastAsia="en-US"/>
        </w:rPr>
        <w:t xml:space="preserve">] for a differentially heated enclosure without a fin, both in the presence and absence of magnetic fields (which are not presented here). </w:t>
      </w:r>
      <w:r>
        <w:rPr>
          <w:rFonts w:cs="Times New Roman" w:cstheme="majorBidi"/>
          <w:szCs w:val="22"/>
        </w:rPr>
        <w:t xml:space="preserve">The results of the current study align well with those of </w:t>
      </w:r>
      <w:r>
        <w:rPr>
          <w:rFonts w:eastAsia="Times New Roman"/>
          <w:kern w:val="2"/>
          <w:szCs w:val="22"/>
          <w:lang w:eastAsia="en-US"/>
        </w:rPr>
        <w:t>Ghasemi et al.,</w:t>
      </w:r>
      <w:r>
        <w:rPr>
          <w:rFonts w:cs="Times New Roman" w:cstheme="majorBidi"/>
          <w:szCs w:val="22"/>
        </w:rPr>
        <w:t xml:space="preserve"> with the highest deviation observed at 1.96%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7</m:t>
            </m:r>
          </m:sup>
        </m:sSup>
      </m:oMath>
      <w:r>
        <w:rPr>
          <w:rFonts w:cs="Times New Roman" w:cstheme="majorBidi"/>
          <w:szCs w:val="22"/>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30</m:t>
        </m:r>
      </m:oMath>
      <w:r>
        <w:rPr>
          <w:rFonts w:cs="Times New Roman" w:cstheme="majorBidi"/>
          <w:szCs w:val="22"/>
        </w:rPr>
        <w:t>.</w:t>
      </w:r>
      <w:bookmarkStart w:id="8" w:name="_Hlk165367949"/>
      <w:bookmarkEnd w:id="8"/>
    </w:p>
    <w:p>
      <w:pPr>
        <w:pStyle w:val="Normal"/>
        <w:ind w:firstLine="440"/>
        <w:rPr>
          <w:rFonts w:ascii="Times New Roman" w:hAnsi="Times New Roman" w:cs="Times New Roman" w:asciiTheme="majorBidi" w:cstheme="majorBidi" w:hAnsiTheme="majorBidi"/>
          <w:szCs w:val="22"/>
        </w:rPr>
      </w:pPr>
      <w:r>
        <w:rPr>
          <w:rFonts w:cs="Times New Roman" w:cstheme="majorBidi"/>
          <w:szCs w:val="22"/>
        </w:rPr>
        <w:t xml:space="preserve">Furthermore, another comparison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cs="Times New Roman" w:cstheme="majorBidi"/>
          <w:szCs w:val="22"/>
        </w:rPr>
        <w:t xml:space="preserve"> is made among the current work and the one of Turan et al. </w:t>
      </w:r>
      <w:sdt>
        <w:sdtPr>
          <w:id w:val="1191840167"/>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color w:val="000000"/>
          <w:szCs w:val="22"/>
        </w:rPr>
        <w:t xml:space="preserve"> for </w:t>
      </w:r>
      <w:r>
        <w:rPr>
          <w:rFonts w:cs="Times New Roman" w:cstheme="majorBidi"/>
          <w:color w:val="000000"/>
          <w:szCs w:val="22"/>
        </w:rPr>
        <w:t xml:space="preserve">various n and </w:t>
      </w:r>
      <w:r>
        <w:rPr/>
      </w:r>
      <m:oMath xmlns:m="http://schemas.openxmlformats.org/officeDocument/2006/math">
        <m:r>
          <w:rPr>
            <w:rFonts w:ascii="Cambria Math" w:hAnsi="Cambria Math"/>
          </w:rPr>
          <m:t xml:space="preserve">Ra</m:t>
        </m:r>
      </m:oMath>
      <w:r>
        <w:rPr>
          <w:rFonts w:cs="Times New Roman" w:cstheme="majorBidi"/>
          <w:color w:val="000000"/>
          <w:szCs w:val="22"/>
        </w:rPr>
        <w:t xml:space="preserve">, at </w:t>
      </w:r>
      <w:r>
        <w:rPr/>
      </w:r>
      <m:oMath xmlns:m="http://schemas.openxmlformats.org/officeDocument/2006/math">
        <m:r>
          <m:rPr>
            <m:lit/>
            <m:nor/>
          </m:rPr>
          <w:rPr>
            <w:rFonts w:ascii="Cambria Math" w:hAnsi="Cambria Math"/>
          </w:rPr>
          <m:t xml:space="preserve">φ </m:t>
        </m:r>
        <m:r>
          <m:rPr>
            <m:lit/>
            <m:nor/>
          </m:rPr>
          <w:rPr>
            <w:rFonts w:ascii="Cambria Math" w:hAnsi="Cambria Math"/>
          </w:rPr>
          <m:t xml:space="preserve">= 0</m:t>
        </m:r>
      </m:oMath>
      <w:r>
        <w:rPr>
          <w:rFonts w:eastAsia="等线" w:cs="Times New Roman" w:cstheme="majorBidi" w:eastAsiaTheme="minorEastAsia"/>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等线" w:cs="Times New Roman" w:cstheme="majorBidi" w:eastAsiaTheme="minorEastAsia"/>
        </w:rPr>
        <w:t xml:space="preserve"> is represented in </w:t>
      </w:r>
      <w:r>
        <w:rPr>
          <w:rFonts w:eastAsia="等线" w:cs="Times New Roman" w:cstheme="majorBidi" w:eastAsiaTheme="minorEastAsia"/>
          <w:color w:val="5B9BD5" w:themeColor="accent5"/>
        </w:rPr>
        <w:t>Table 3</w:t>
      </w:r>
      <w:r>
        <w:rPr>
          <w:rFonts w:eastAsia="等线" w:cs="Times New Roman" w:cstheme="majorBidi" w:eastAsiaTheme="minorEastAsia"/>
        </w:rPr>
        <w:t xml:space="preserve">. The results agree well with those </w:t>
      </w:r>
      <w:r>
        <w:rPr>
          <w:rFonts w:cs="Times New Roman" w:cstheme="majorBidi"/>
          <w:szCs w:val="22"/>
        </w:rPr>
        <w:t xml:space="preserve">of Turan et al. </w:t>
      </w:r>
      <w:sdt>
        <w:sdtPr>
          <w:id w:val="208240896"/>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szCs w:val="22"/>
        </w:rPr>
        <w:t xml:space="preserve">, </w:t>
      </w:r>
      <w:r>
        <w:rPr>
          <w:rFonts w:cs="Times New Roman" w:cstheme="majorBidi"/>
          <w:szCs w:val="22"/>
        </w:rPr>
        <w:t xml:space="preserve">for the highest error of no more than 0.61% recorded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rFonts w:cs="Times New Roman" w:cstheme="majorBidi"/>
          <w:szCs w:val="22"/>
        </w:rPr>
        <w:t xml:space="preserve">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oMath>
    </w:p>
    <w:tbl>
      <w:tblPr>
        <w:tblStyle w:val="af2"/>
        <w:tblW w:w="6782" w:type="dxa"/>
        <w:jc w:val="center"/>
        <w:tblInd w:w="0" w:type="dxa"/>
        <w:tblCellMar>
          <w:top w:w="0" w:type="dxa"/>
          <w:left w:w="108" w:type="dxa"/>
          <w:bottom w:w="0" w:type="dxa"/>
          <w:right w:w="108" w:type="dxa"/>
        </w:tblCellMar>
        <w:tblLook w:val="04a0" w:noHBand="0" w:noVBand="1" w:firstColumn="1" w:lastRow="0" w:lastColumn="0" w:firstRow="1"/>
      </w:tblPr>
      <w:tblGrid>
        <w:gridCol w:w="510"/>
        <w:gridCol w:w="3114"/>
        <w:gridCol w:w="3158"/>
      </w:tblGrid>
      <w:tr>
        <w:trPr/>
        <w:tc>
          <w:tcPr>
            <w:tcW w:w="510"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rFonts w:cs="Times New Roman" w:cstheme="majorBidi"/>
                <w:szCs w:val="22"/>
              </w:rPr>
            </w:r>
          </w:p>
        </w:tc>
        <w:tc>
          <w:tcPr>
            <w:tcW w:w="3114"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800225" cy="1771015"/>
                  <wp:effectExtent l="0" t="0" r="0" b="0"/>
                  <wp:docPr id="4"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descr="Une image contenant capture d’écran, croquis, conception, art&#10;&#10;Description générée automatiquement"/>
                          <pic:cNvPicPr>
                            <a:picLocks noChangeAspect="1" noChangeArrowheads="1"/>
                          </pic:cNvPicPr>
                        </pic:nvPicPr>
                        <pic:blipFill>
                          <a:blip r:embed="rId3"/>
                          <a:srcRect l="12275" t="11557" r="17633" b="10807"/>
                          <a:stretch>
                            <a:fillRect/>
                          </a:stretch>
                        </pic:blipFill>
                        <pic:spPr bwMode="auto">
                          <a:xfrm>
                            <a:off x="0" y="0"/>
                            <a:ext cx="1800225" cy="1771015"/>
                          </a:xfrm>
                          <a:prstGeom prst="rect">
                            <a:avLst/>
                          </a:prstGeom>
                        </pic:spPr>
                      </pic:pic>
                    </a:graphicData>
                  </a:graphic>
                </wp:inline>
              </w:drawing>
            </w:r>
          </w:p>
        </w:tc>
        <w:tc>
          <w:tcPr>
            <w:tcW w:w="3158"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737360" cy="1819910"/>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roquis, dessin&#10;&#10;Description générée automatiquement"/>
                          <pic:cNvPicPr>
                            <a:picLocks noChangeAspect="1" noChangeArrowheads="1"/>
                          </pic:cNvPicPr>
                        </pic:nvPicPr>
                        <pic:blipFill>
                          <a:blip r:embed="rId4"/>
                          <a:srcRect l="12684" t="11970" r="18387" b="10860"/>
                          <a:stretch>
                            <a:fillRect/>
                          </a:stretch>
                        </pic:blipFill>
                        <pic:spPr bwMode="auto">
                          <a:xfrm>
                            <a:off x="0" y="0"/>
                            <a:ext cx="1737360" cy="1819910"/>
                          </a:xfrm>
                          <a:prstGeom prst="rect">
                            <a:avLst/>
                          </a:prstGeom>
                        </pic:spPr>
                      </pic:pic>
                    </a:graphicData>
                  </a:graphic>
                </wp:inline>
              </w:drawing>
            </w:r>
          </w:p>
        </w:tc>
      </w:tr>
    </w:tbl>
    <w:p>
      <w:pPr>
        <w:pStyle w:val="Normal"/>
        <w:rPr>
          <w:rFonts w:ascii="Times New Roman" w:hAnsi="Times New Roman" w:eastAsia="Times New Roman" w:cs="Times New Roman" w:asciiTheme="majorBidi" w:cstheme="majorBidi" w:hAnsiTheme="majorBidi"/>
          <w:kern w:val="2"/>
          <w:szCs w:val="22"/>
          <w:lang w:eastAsia="en-US"/>
        </w:rPr>
      </w:pPr>
      <w:bookmarkStart w:id="9" w:name="_Hlk158722648"/>
      <w:r>
        <w:rPr>
          <w:b/>
          <w:color w:val="000000" w:themeColor="text1"/>
          <w:szCs w:val="22"/>
        </w:rPr>
        <w:t>Figure 2:</w:t>
      </w:r>
      <w:bookmarkEnd w:id="9"/>
      <w:r>
        <w:rPr>
          <w:rFonts w:eastAsia="Times New Roman" w:cs="Times New Roman" w:cstheme="majorBidi"/>
          <w:b/>
          <w:bCs/>
          <w:kern w:val="2"/>
          <w:szCs w:val="22"/>
          <w:lang w:eastAsia="en-US"/>
        </w:rPr>
        <w:t xml:space="preserve"> </w:t>
      </w:r>
      <w:r>
        <w:rPr>
          <w:rFonts w:eastAsia="Times New Roman" w:cs="Times New Roman" w:cstheme="majorBidi"/>
          <w:kern w:val="2"/>
          <w:szCs w:val="22"/>
          <w:lang w:eastAsia="en-US"/>
        </w:rPr>
        <w:t xml:space="preserve">Streamlines (left) and the isotherms (right) of the current study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5</m:t>
            </m:r>
          </m:sup>
        </m:sSup>
      </m:oMath>
      <w:r>
        <w:rPr>
          <w:rFonts w:eastAsia="Times New Roman" w:cs="Times New Roman" w:cstheme="majorBidi"/>
          <w:kern w:val="2"/>
          <w:szCs w:val="22"/>
          <w:lang w:eastAsia="en-US"/>
        </w:rPr>
        <w:t xml:space="preserve"> ,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0.03</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6.2</m:t>
        </m:r>
      </m:oMath>
      <w:r>
        <w:rPr>
          <w:rFonts w:eastAsia="Times New Roman" w:cs="Times New Roman" w:cstheme="majorBidi"/>
          <w:kern w:val="2"/>
          <w:szCs w:val="22"/>
          <w:lang w:eastAsia="en-US"/>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0</m:t>
        </m:r>
      </m:oMath>
      <w:r>
        <w:rPr>
          <w:rFonts w:eastAsia="Times New Roman" w:cs="Times New Roman" w:cstheme="majorBidi"/>
          <w:kern w:val="2"/>
          <w:szCs w:val="22"/>
          <w:lang w:eastAsia="en-US"/>
        </w:rPr>
        <w:t>.</w:t>
      </w:r>
    </w:p>
    <w:p>
      <w:pPr>
        <w:pStyle w:val="Normal"/>
        <w:ind w:firstLine="440"/>
        <w:jc w:val="center"/>
        <w:rPr>
          <w:rFonts w:eastAsia="Times New Roman"/>
          <w:kern w:val="2"/>
          <w:szCs w:val="22"/>
          <w:lang w:eastAsia="en-US"/>
        </w:rPr>
      </w:pPr>
      <w:r>
        <w:rPr>
          <w:rFonts w:eastAsia="Times New Roman"/>
          <w:kern w:val="2"/>
          <w:szCs w:val="22"/>
          <w:lang w:eastAsia="en-US"/>
        </w:rPr>
      </w:r>
    </w:p>
    <w:p>
      <w:pPr>
        <w:pStyle w:val="Normal"/>
        <w:keepNext w:val="true"/>
        <w:keepLines/>
        <w:ind w:firstLine="442"/>
        <w:rPr>
          <w:rFonts w:eastAsia="Times New Roman"/>
          <w:kern w:val="2"/>
          <w:szCs w:val="22"/>
          <w:lang w:eastAsia="en-US"/>
        </w:rPr>
      </w:pPr>
      <w:r>
        <w:rPr>
          <w:rFonts w:eastAsia="Times New Roman"/>
          <w:b/>
          <w:bCs/>
          <w:kern w:val="2"/>
          <w:szCs w:val="22"/>
          <w:lang w:eastAsia="en-US"/>
        </w:rPr>
        <w:t>Table 3:</w:t>
      </w:r>
      <w:r>
        <w:rPr>
          <w:rFonts w:eastAsia="Times New Roman"/>
          <w:kern w:val="2"/>
          <w:szCs w:val="22"/>
          <w:lang w:eastAsia="en-US"/>
        </w:rPr>
        <w:t xml:space="preserve"> Comparison of the average Nu with previous study of Turan et al. [</w:t>
      </w:r>
      <w:r>
        <w:rPr>
          <w:rFonts w:eastAsia="Times New Roman"/>
          <w:color w:val="5B9BD5" w:themeColor="accent5"/>
          <w:kern w:val="2"/>
          <w:szCs w:val="22"/>
          <w:lang w:eastAsia="en-US"/>
        </w:rPr>
        <w:t>18</w:t>
      </w:r>
      <w:r>
        <w:rPr>
          <w:rFonts w:eastAsia="Times New Roman"/>
          <w:kern w:val="2"/>
          <w:szCs w:val="22"/>
          <w:lang w:eastAsia="en-US"/>
        </w:rPr>
        <w:t xml:space="preserve">] for various </w:t>
      </w:r>
      <w:r>
        <w:rPr/>
      </w:r>
      <m:oMath xmlns:m="http://schemas.openxmlformats.org/officeDocument/2006/math">
        <m:r>
          <w:rPr>
            <w:rFonts w:ascii="Cambria Math" w:hAnsi="Cambria Math"/>
          </w:rPr>
          <m:t xml:space="preserve">Ra</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n</m:t>
        </m:r>
      </m:oMath>
      <w:r>
        <w:rPr>
          <w:rFonts w:eastAsia="Times New Roman"/>
          <w:kern w:val="2"/>
          <w:szCs w:val="22"/>
          <w:lang w:eastAsia="en-US"/>
        </w:rPr>
        <w:t xml:space="preserve"> when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Times New Roman"/>
          <w:kern w:val="2"/>
          <w:szCs w:val="22"/>
          <w:lang w:eastAsia="en-US"/>
        </w:rPr>
        <w:t>.</w:t>
      </w:r>
    </w:p>
    <w:tbl>
      <w:tblPr>
        <w:tblStyle w:val="af2"/>
        <w:tblW w:w="5000" w:type="pct"/>
        <w:jc w:val="left"/>
        <w:tblInd w:w="0" w:type="dxa"/>
        <w:tblCellMar>
          <w:top w:w="0" w:type="dxa"/>
          <w:left w:w="108" w:type="dxa"/>
          <w:bottom w:w="0" w:type="dxa"/>
          <w:right w:w="108" w:type="dxa"/>
        </w:tblCellMar>
        <w:tblLook w:val="04a0" w:noHBand="0" w:noVBand="1" w:firstColumn="1" w:lastRow="0" w:lastColumn="0" w:firstRow="1"/>
      </w:tblPr>
      <w:tblGrid>
        <w:gridCol w:w="1728"/>
        <w:gridCol w:w="1728"/>
        <w:gridCol w:w="1728"/>
        <w:gridCol w:w="1728"/>
        <w:gridCol w:w="1728"/>
      </w:tblGrid>
      <w:tr>
        <w:trPr>
          <w:trHeight w:val="340" w:hRule="atLeast"/>
        </w:trPr>
        <w:tc>
          <w:tcPr>
            <w:tcW w:w="3456" w:type="dxa"/>
            <w:gridSpan w:val="2"/>
            <w:tcBorders>
              <w:left w:val="nil"/>
              <w:right w:val="nil"/>
            </w:tcBorders>
            <w:vAlign w:val="center"/>
          </w:tcPr>
          <w:p>
            <w:pPr>
              <w:pStyle w:val="Normal"/>
              <w:keepNext w:val="true"/>
              <w:keepLines/>
              <w:widowControl w:val="false"/>
              <w:snapToGrid w:val="false"/>
              <w:spacing w:before="0" w:after="0"/>
              <w:jc w:val="center"/>
              <w:rPr>
                <w:b/>
                <w:b/>
                <w:i/>
                <w:i/>
                <w:szCs w:val="22"/>
              </w:rPr>
            </w:pPr>
            <w:r>
              <w:rPr>
                <w:b/>
                <w:i/>
                <w:szCs w:val="22"/>
              </w:rPr>
            </w:r>
          </w:p>
        </w:tc>
        <w:tc>
          <w:tcPr>
            <w:tcW w:w="5184" w:type="dxa"/>
            <w:gridSpan w:val="3"/>
            <w:tcBorders>
              <w:left w:val="nil"/>
              <w:right w:val="nil"/>
            </w:tcBorders>
            <w:vAlign w:val="center"/>
          </w:tcPr>
          <w:p>
            <w:pPr>
              <w:pStyle w:val="Normal"/>
              <w:keepNext w:val="true"/>
              <w:keepLines/>
              <w:widowControl w:val="false"/>
              <w:snapToGrid w:val="false"/>
              <w:spacing w:before="0" w:after="0"/>
              <w:jc w:val="center"/>
              <w:rPr>
                <w:b/>
                <w:b/>
                <w:iCs/>
                <w:szCs w:val="22"/>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r>
      <w:tr>
        <w:trPr/>
        <w:tc>
          <w:tcPr>
            <w:tcW w:w="3456" w:type="dxa"/>
            <w:gridSpan w:val="2"/>
            <w:tcBorders>
              <w:left w:val="nil"/>
              <w:bottom w:val="nil"/>
              <w:right w:val="nil"/>
            </w:tcBorders>
            <w:vAlign w:val="center"/>
          </w:tcPr>
          <w:p>
            <w:pPr>
              <w:pStyle w:val="Normal"/>
              <w:keepNext w:val="true"/>
              <w:keepLines/>
              <w:widowControl w:val="false"/>
              <w:snapToGrid w:val="false"/>
              <w:spacing w:before="0" w:after="0"/>
              <w:rPr>
                <w:b/>
                <w:b/>
                <w:i/>
                <w:i/>
                <w:szCs w:val="22"/>
              </w:rPr>
            </w:pPr>
            <w:r>
              <w:rPr>
                <w:b/>
                <w:i/>
                <w:szCs w:val="22"/>
              </w:rPr>
            </w:r>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b/>
                <w:b/>
                <w:i/>
                <w:i/>
                <w:szCs w:val="22"/>
              </w:rPr>
            </w:pPr>
            <w:r>
              <w:rPr>
                <w:rFonts w:eastAsia="等线" w:cs="Times New Roman" w:cstheme="majorBidi" w:eastAsiaTheme="minorEastAsia"/>
                <w:sz w:val="20"/>
              </w:rPr>
              <w:t xml:space="preserve">Turan et al. </w:t>
            </w:r>
            <w:sdt>
              <w:sdtPr>
                <w:id w:val="180000652"/>
              </w:sdtPr>
              <w:sdtContent>
                <w:r>
                  <w:rPr>
                    <w:rFonts w:eastAsia="等线" w:cs="Times New Roman" w:cstheme="majorBidi" w:eastAsiaTheme="minorEastAsia"/>
                    <w:color w:val="000000"/>
                    <w:sz w:val="20"/>
                  </w:rPr>
                  <w:t>[18]</w:t>
                </w:r>
              </w:sdtContent>
            </w:sdt>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14.3961</w:t>
            </w:r>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4.7257</w:t>
            </w:r>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2.4337</w:t>
            </w:r>
          </w:p>
        </w:tc>
      </w:tr>
      <w:tr>
        <w:trPr>
          <w:trHeight w:val="20" w:hRule="atLeast"/>
        </w:trPr>
        <w:tc>
          <w:tcPr>
            <w:tcW w:w="1728" w:type="dxa"/>
            <w:vMerge w:val="continue"/>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34.1494</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9.2519</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4.3007</w:t>
            </w:r>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Present work</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14.413</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4.7281</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2.4463</w:t>
            </w:r>
          </w:p>
        </w:tc>
      </w:tr>
      <w:tr>
        <w:trPr>
          <w:trHeight w:val="20" w:hRule="atLeast"/>
        </w:trPr>
        <w:tc>
          <w:tcPr>
            <w:tcW w:w="1728" w:type="dxa"/>
            <w:vMerge w:val="continue"/>
            <w:tcBorders>
              <w:top w:val="nil"/>
              <w:left w:val="nil"/>
              <w:right w:val="nil"/>
            </w:tcBorders>
            <w:vAlign w:val="center"/>
          </w:tcPr>
          <w:p>
            <w:pPr>
              <w:pStyle w:val="Normal"/>
              <w:widowControl w:val="false"/>
              <w:snapToGrid w:val="false"/>
              <w:spacing w:before="240" w:after="60"/>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33.940</w:t>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9.2497</w:t>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4.278</w:t>
            </w:r>
            <w:bookmarkStart w:id="10" w:name="_Hlk158740955"/>
            <w:bookmarkEnd w:id="10"/>
          </w:p>
        </w:tc>
      </w:tr>
    </w:tbl>
    <w:p>
      <w:pPr>
        <w:pStyle w:val="Normal"/>
        <w:widowControl w:val="false"/>
        <w:snapToGrid w:val="false"/>
        <w:spacing w:before="240" w:after="60"/>
        <w:rPr>
          <w:b/>
          <w:b/>
          <w:color w:val="000000" w:themeColor="text1"/>
          <w:szCs w:val="22"/>
        </w:rPr>
      </w:pPr>
      <w:r>
        <w:rPr>
          <w:b/>
          <w:color w:val="000000" w:themeColor="text1"/>
          <w:szCs w:val="22"/>
        </w:rPr>
        <w:t>4 Results and discussion</w:t>
      </w:r>
    </w:p>
    <w:p>
      <w:pPr>
        <w:pStyle w:val="Normal"/>
        <w:ind w:firstLine="440"/>
        <w:rPr>
          <w:color w:val="000000" w:themeColor="text1"/>
        </w:rPr>
      </w:pPr>
      <w:r>
        <w:rPr>
          <w:color w:val="5B9BD5" w:themeColor="accent5"/>
        </w:rPr>
        <w:t xml:space="preserve">Fig. 3 </w:t>
      </w:r>
      <w:r>
        <w:rPr>
          <w:color w:val="000000" w:themeColor="text1"/>
        </w:rPr>
        <w:t>illustrates the changes of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with the volume fraction (</w:t>
      </w:r>
      <w:r>
        <w:rPr/>
      </w:r>
      <m:oMath xmlns:m="http://schemas.openxmlformats.org/officeDocument/2006/math">
        <m:r>
          <w:rPr>
            <w:rFonts w:ascii="Cambria Math" w:hAnsi="Cambria Math"/>
          </w:rPr>
          <m:t xml:space="preserve">φ</m:t>
        </m:r>
      </m:oMath>
      <w:r>
        <w:rPr>
          <w:color w:val="000000" w:themeColor="text1"/>
        </w:rPr>
        <w:t xml:space="preserve">) of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considering various values of Rayleigh number (</w:t>
      </w:r>
      <w:r>
        <w:rPr/>
      </w:r>
      <m:oMath xmlns:m="http://schemas.openxmlformats.org/officeDocument/2006/math">
        <m:r>
          <w:rPr>
            <w:rFonts w:ascii="Cambria Math" w:hAnsi="Cambria Math"/>
          </w:rPr>
          <m:t xml:space="preserve">Ra</m:t>
        </m:r>
      </m:oMath>
      <w:r>
        <w:rPr>
          <w:color w:val="000000" w:themeColor="text1"/>
        </w:rPr>
        <w:t>) and power-law index (</w:t>
      </w:r>
      <w:r>
        <w:rPr/>
      </w:r>
      <m:oMath xmlns:m="http://schemas.openxmlformats.org/officeDocument/2006/math">
        <m:r>
          <w:rPr>
            <w:rFonts w:ascii="Cambria Math" w:hAnsi="Cambria Math"/>
          </w:rPr>
          <m:t xml:space="preserve">n</m:t>
        </m:r>
      </m:oMath>
      <w:r>
        <w:rPr>
          <w:color w:val="000000" w:themeColor="text1"/>
        </w:rPr>
        <w:t>). The examination of this figures shows that for all nanoparticles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w:r>
        <w:rPr/>
      </w:r>
      <m:oMath xmlns:m="http://schemas.openxmlformats.org/officeDocument/2006/math">
        <m:r>
          <w:rPr>
            <w:rFonts w:ascii="Cambria Math" w:hAnsi="Cambria Math"/>
          </w:rPr>
          <m:t xml:space="preserve">Ra</m:t>
        </m:r>
      </m:oMath>
      <w:r>
        <w:rPr>
          <w:color w:val="000000" w:themeColor="text1"/>
        </w:rPr>
        <w:t>) and a decrease in the (</w:t>
      </w:r>
      <w:r>
        <w:rPr/>
      </w:r>
      <m:oMath xmlns:m="http://schemas.openxmlformats.org/officeDocument/2006/math">
        <m:r>
          <w:rPr>
            <w:rFonts w:ascii="Cambria Math" w:hAnsi="Cambria Math"/>
          </w:rPr>
          <m:t xml:space="preserve">n</m:t>
        </m:r>
      </m:oMath>
      <w:r>
        <w:rPr>
          <w:color w:val="000000" w:themeColor="text1"/>
        </w:rPr>
        <w:t>). This reduction results in an amplification of the heat flux magnitude at the vertical walls.</w:t>
      </w:r>
    </w:p>
    <w:p>
      <w:pPr>
        <w:pStyle w:val="Normal"/>
        <w:ind w:firstLine="440"/>
        <w:rPr>
          <w:color w:val="000000" w:themeColor="text1"/>
        </w:rPr>
      </w:pPr>
      <w:r>
        <w:rPr>
          <w:color w:val="000000" w:themeColor="text1"/>
        </w:rPr>
        <w:t>In fact, for shear-thinning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such as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these fluids exhibit the highest Nusselt numbers. This is attributed to their apparent viscosity, which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for shear-thickening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noteworthy is the observation that, at a relatively low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oMath>
      <w:r>
        <w:rPr>
          <w:color w:val="000000" w:themeColor="text1"/>
        </w:rPr>
        <w:t xml:space="preserve">, the addition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p>
    <w:p>
      <w:pPr>
        <w:pStyle w:val="Normal"/>
        <w:ind w:firstLine="440"/>
        <w:rPr>
          <w:color w:val="000000" w:themeColor="text1"/>
        </w:rPr>
      </w:pPr>
      <w:r>
        <w:rPr>
          <w:color w:val="000000" w:themeColor="text1"/>
        </w:rPr>
        <w:t>For Newtonian fluid case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rPr>
        <w:t xml:space="preserve">), characterized by constant viscosity irrespective of applied stress or shear rate, the average Nusselt numbers reach 9 for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11 for </w:t>
      </w:r>
      <w:r>
        <w:rPr/>
      </w:r>
      <m:oMath xmlns:m="http://schemas.openxmlformats.org/officeDocument/2006/math">
        <m:r>
          <w:rPr>
            <w:rFonts w:ascii="Cambria Math" w:hAnsi="Cambria Math"/>
          </w:rPr>
          <m:t xml:space="preserve">Cu</m:t>
        </m:r>
      </m:oMath>
      <w:r>
        <w:rPr>
          <w:color w:val="000000" w:themeColor="text1"/>
        </w:rPr>
        <w:t xml:space="preserve">. These results emphasize the notable impact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surpassing the improvements achieved with the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However, </w:t>
      </w:r>
      <w:r>
        <w:rPr/>
      </w:r>
      <m:oMath xmlns:m="http://schemas.openxmlformats.org/officeDocument/2006/math">
        <m:r>
          <w:rPr>
            <w:rFonts w:ascii="Cambria Math" w:hAnsi="Cambria Math"/>
          </w:rPr>
          <m:t xml:space="preserve">Cu</m:t>
        </m:r>
      </m:oMath>
      <w:r>
        <w:rPr>
          <w:color w:val="000000" w:themeColor="text1"/>
        </w:rPr>
        <w:t xml:space="preserve"> falls behind shear-thinning fluids while outperforming shear-thickening ones in terms of the enhancement of heat transfer.</w:t>
      </w:r>
    </w:p>
    <w:p>
      <w:pPr>
        <w:pStyle w:val="Normal"/>
        <w:ind w:firstLine="440"/>
        <w:rPr>
          <w:color w:val="000000" w:themeColor="text1"/>
        </w:rPr>
      </w:pPr>
      <w:r>
        <w:rPr>
          <w:color w:val="000000" w:themeColor="text1"/>
        </w:rPr>
        <w:t xml:space="preserve">Remarkably, the most substantial rise in the mean Nusselt number with varying volume fractions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is observed at a high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with </w:t>
      </w:r>
      <w:r>
        <w:rPr/>
      </w:r>
      <m:oMath xmlns:m="http://schemas.openxmlformats.org/officeDocument/2006/math">
        <m:r>
          <w:rPr>
            <w:rFonts w:ascii="Cambria Math" w:hAnsi="Cambria Math"/>
          </w:rPr>
          <m:t xml:space="preserve">Cu</m:t>
        </m:r>
      </m:oMath>
      <w:r>
        <w:rPr>
          <w:color w:val="000000" w:themeColor="text1"/>
        </w:rPr>
        <w:t xml:space="preserve"> showing the most significant increase of 3.5. This observation underscores the heightened effectiveness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w:r>
        <w:rPr/>
      </w:r>
      <m:oMath xmlns:m="http://schemas.openxmlformats.org/officeDocument/2006/math">
        <m:r>
          <w:rPr>
            <w:rFonts w:ascii="Cambria Math" w:hAnsi="Cambria Math"/>
          </w:rPr>
          <m:t xml:space="preserve">Ra</m:t>
        </m:r>
      </m:oMath>
      <w:r>
        <w:rPr>
          <w:color w:val="000000" w:themeColor="text1"/>
        </w:rPr>
        <w:t>.</w:t>
      </w:r>
    </w:p>
    <w:p>
      <w:pPr>
        <w:pStyle w:val="Normal"/>
        <w:ind w:firstLine="440"/>
        <w:rPr>
          <w:color w:val="000000" w:themeColor="text1"/>
        </w:rPr>
      </w:pPr>
      <w:r>
        <w:rPr>
          <w:color w:val="000000" w:themeColor="text1"/>
        </w:rPr>
        <w:t>The most pronounced impact of nanoparticles on heat transport is evident at a power law index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p>
    <w:tbl>
      <w:tblPr>
        <w:tblStyle w:val="af2"/>
        <w:tblW w:w="8241" w:type="dxa"/>
        <w:jc w:val="left"/>
        <w:tblInd w:w="0" w:type="dxa"/>
        <w:tblCellMar>
          <w:top w:w="0" w:type="dxa"/>
          <w:left w:w="0" w:type="dxa"/>
          <w:bottom w:w="0" w:type="dxa"/>
          <w:right w:w="0" w:type="dxa"/>
        </w:tblCellMar>
        <w:tblLook w:val="04a0" w:noHBand="0" w:noVBand="1" w:firstColumn="1" w:lastRow="0" w:lastColumn="0" w:firstRow="1"/>
      </w:tblPr>
      <w:tblGrid>
        <w:gridCol w:w="397"/>
        <w:gridCol w:w="2638"/>
        <w:gridCol w:w="2611"/>
        <w:gridCol w:w="2594"/>
      </w:tblGrid>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611"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594"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(a)</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2105" cy="18002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9206" t="9164" r="12162" b="4804"/>
                          <a:stretch>
                            <a:fillRect/>
                          </a:stretch>
                        </pic:blipFill>
                        <pic:spPr bwMode="auto">
                          <a:xfrm>
                            <a:off x="0" y="0"/>
                            <a:ext cx="160210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23060" cy="1800225"/>
                  <wp:effectExtent l="0" t="0" r="0" b="0"/>
                  <wp:docPr id="7"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
                          <pic:cNvPicPr>
                            <a:picLocks noChangeAspect="1" noChangeArrowheads="1"/>
                          </pic:cNvPicPr>
                        </pic:nvPicPr>
                        <pic:blipFill>
                          <a:blip r:embed="rId6"/>
                          <a:srcRect l="10192" t="9785" r="11607" b="3733"/>
                          <a:stretch>
                            <a:fillRect/>
                          </a:stretch>
                        </pic:blipFill>
                        <pic:spPr bwMode="auto">
                          <a:xfrm>
                            <a:off x="0" y="0"/>
                            <a:ext cx="162306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47190" cy="1800225"/>
                  <wp:effectExtent l="0" t="0" r="0" b="0"/>
                  <wp:docPr id="8"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descr=""/>
                          <pic:cNvPicPr>
                            <a:picLocks noChangeAspect="1" noChangeArrowheads="1"/>
                          </pic:cNvPicPr>
                        </pic:nvPicPr>
                        <pic:blipFill>
                          <a:blip r:embed="rId7"/>
                          <a:srcRect l="8617" t="9942" r="12187" b="5108"/>
                          <a:stretch>
                            <a:fillRect/>
                          </a:stretch>
                        </pic:blipFill>
                        <pic:spPr bwMode="auto">
                          <a:xfrm>
                            <a:off x="0" y="0"/>
                            <a:ext cx="164719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rPr>
                <w:iCs/>
                <w:szCs w:val="22"/>
              </w:rPr>
            </w:pPr>
            <w:r>
              <w:rPr>
                <w:iCs/>
                <w:szCs w:val="22"/>
              </w:rPr>
              <w:t>(b)</w:t>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lang w:val="fr-FR"/>
              </w:rPr>
            </w:pPr>
            <w:r>
              <w:rPr/>
              <w:drawing>
                <wp:inline distT="0" distB="0" distL="0" distR="0">
                  <wp:extent cx="1573530" cy="180022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8"/>
                          <a:srcRect l="9128" t="9654" r="12201" b="4793"/>
                          <a:stretch>
                            <a:fillRect/>
                          </a:stretch>
                        </pic:blipFill>
                        <pic:spPr bwMode="auto">
                          <a:xfrm>
                            <a:off x="0" y="0"/>
                            <a:ext cx="1573530"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53845" cy="18002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9688" t="10231" r="12619" b="3714"/>
                          <a:stretch>
                            <a:fillRect/>
                          </a:stretch>
                        </pic:blipFill>
                        <pic:spPr bwMode="auto">
                          <a:xfrm>
                            <a:off x="0" y="0"/>
                            <a:ext cx="1553845"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86230" cy="18002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0"/>
                          <a:srcRect l="7734" t="8605" r="12266" b="4503"/>
                          <a:stretch>
                            <a:fillRect/>
                          </a:stretch>
                        </pic:blipFill>
                        <pic:spPr bwMode="auto">
                          <a:xfrm>
                            <a:off x="0" y="0"/>
                            <a:ext cx="158623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(c)</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68145" cy="180022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1"/>
                          <a:srcRect l="8927" t="9532" r="11952" b="3467"/>
                          <a:stretch>
                            <a:fillRect/>
                          </a:stretch>
                        </pic:blipFill>
                        <pic:spPr bwMode="auto">
                          <a:xfrm>
                            <a:off x="0" y="0"/>
                            <a:ext cx="166814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56080" cy="180022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2"/>
                          <a:srcRect l="8617" t="9457" r="11828" b="3527"/>
                          <a:stretch>
                            <a:fillRect/>
                          </a:stretch>
                        </pic:blipFill>
                        <pic:spPr bwMode="auto">
                          <a:xfrm>
                            <a:off x="0" y="0"/>
                            <a:ext cx="165608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0200" cy="1800225"/>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3"/>
                          <a:srcRect l="8824" t="9422" r="12306" b="2765"/>
                          <a:stretch>
                            <a:fillRect/>
                          </a:stretch>
                        </pic:blipFill>
                        <pic:spPr bwMode="auto">
                          <a:xfrm>
                            <a:off x="0" y="0"/>
                            <a:ext cx="1600200" cy="180022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3:</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φ</m:t>
        </m:r>
      </m:oMath>
      <w:r>
        <w:rPr>
          <w:color w:val="000000" w:themeColor="text1"/>
        </w:rPr>
        <w:t xml:space="preserve"> and </w:t>
      </w:r>
      <w:r>
        <w:rPr/>
      </w:r>
      <m:oMath xmlns:m="http://schemas.openxmlformats.org/officeDocument/2006/math">
        <m:r>
          <w:rPr>
            <w:rFonts w:ascii="Cambria Math" w:hAnsi="Cambria Math"/>
          </w:rPr>
          <m:t xml:space="preserve">n</m:t>
        </m:r>
      </m:oMath>
      <w:r>
        <w:rPr>
          <w:color w:val="000000" w:themeColor="text1"/>
        </w:rPr>
        <w:t xml:space="preserve">: (a)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rPr>
        <w:t xml:space="preserve">, (b)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rPr>
        <w:t xml:space="preserve"> and (c) </w:t>
      </w:r>
      <w:r>
        <w:rPr/>
      </w:r>
      <m:oMath xmlns:m="http://schemas.openxmlformats.org/officeDocument/2006/math">
        <m:r>
          <w:rPr>
            <w:rFonts w:ascii="Cambria Math" w:hAnsi="Cambria Math"/>
          </w:rPr>
          <m:t xml:space="preserve">Cu</m:t>
        </m:r>
      </m:oMath>
      <w:r>
        <w:rPr>
          <w:color w:val="000000" w:themeColor="text1"/>
        </w:rPr>
        <w:t xml:space="preserve"> nanoparticles.</w:t>
      </w:r>
    </w:p>
    <w:p>
      <w:pPr>
        <w:pStyle w:val="Normal"/>
        <w:ind w:firstLine="440"/>
        <w:rPr>
          <w:color w:val="000000" w:themeColor="text1"/>
        </w:rPr>
      </w:pPr>
      <w:r>
        <w:rPr>
          <w:color w:val="000000" w:themeColor="text1"/>
        </w:rPr>
        <w:t xml:space="preserve">The observations depicted in </w:t>
      </w:r>
      <w:r>
        <w:rPr>
          <w:color w:val="5B9BD5" w:themeColor="accent5"/>
        </w:rPr>
        <w:t xml:space="preserve">Fig. 4 </w:t>
      </w:r>
      <w:r>
        <w:rPr>
          <w:color w:val="000000" w:themeColor="text1"/>
        </w:rPr>
        <w:t>underscore the significant influence of fluid rheology, particularly the transition from shear-thinning to the behavior of shear-thickening. This transition is associated with a decrease in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showing a reducing in convective heat transfer efficiency. Notably, among the nanoparticles,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demonstrates the most pronounced effect of (</w:t>
      </w:r>
      <w:r>
        <w:rPr/>
      </w:r>
      <m:oMath xmlns:m="http://schemas.openxmlformats.org/officeDocument/2006/math">
        <m:r>
          <w:rPr>
            <w:rFonts w:ascii="Cambria Math" w:hAnsi="Cambria Math"/>
          </w:rPr>
          <m:t xml:space="preserve">n</m:t>
        </m:r>
      </m:oMath>
      <w:r>
        <w:rPr>
          <w:color w:val="000000" w:themeColor="text1"/>
        </w:rPr>
        <w:t>) on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Furthermore, </w:t>
      </w:r>
      <w:r>
        <w:rPr>
          <w:color w:val="5B9BD5" w:themeColor="accent5"/>
        </w:rPr>
        <w:t xml:space="preserve">Fig. 4 </w:t>
      </w:r>
      <w:r>
        <w:rPr>
          <w:color w:val="000000" w:themeColor="text1"/>
        </w:rPr>
        <w:t xml:space="preserve">highlights that the nanoparticles addition has a positive impact on the average </w:t>
      </w:r>
      <w:r>
        <w:rPr/>
      </w:r>
      <m:oMath xmlns:m="http://schemas.openxmlformats.org/officeDocument/2006/math">
        <m:r>
          <w:rPr>
            <w:rFonts w:ascii="Cambria Math" w:hAnsi="Cambria Math"/>
          </w:rPr>
          <m:t xml:space="preserve">Nu</m:t>
        </m:r>
      </m:oMath>
      <w:r>
        <w:rPr>
          <w:color w:val="000000" w:themeColor="text1"/>
        </w:rPr>
        <w:t xml:space="preserve">, contributing to enhanced convective heat transfer. Furthermore, the nanoparticle volume fractions of </w:t>
      </w:r>
      <w:r>
        <w:rPr/>
      </w:r>
      <m:oMath xmlns:m="http://schemas.openxmlformats.org/officeDocument/2006/math">
        <m:r>
          <w:rPr>
            <w:rFonts w:ascii="Cambria Math" w:hAnsi="Cambria Math"/>
          </w:rPr>
          <m:t xml:space="preserve">Cu</m:t>
        </m:r>
      </m:oMath>
      <w:r>
        <w:rPr>
          <w:color w:val="000000" w:themeColor="text1"/>
        </w:rPr>
        <w:t xml:space="preserve"> exhibit a more pronounced impact on the </w:t>
      </w:r>
      <w:r>
        <w:rPr/>
      </w:r>
      <m:oMath xmlns:m="http://schemas.openxmlformats.org/officeDocument/2006/math">
        <m:r>
          <w:rPr>
            <w:rFonts w:ascii="Cambria Math" w:hAnsi="Cambria Math"/>
          </w:rPr>
          <m:t xml:space="preserve">Nu</m:t>
        </m:r>
      </m:oMath>
      <w:r>
        <w:rPr>
          <w:color w:val="000000" w:themeColor="text1"/>
        </w:rPr>
        <w:t xml:space="preserve"> compared with those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as evident in </w:t>
      </w:r>
      <w:r>
        <w:rPr>
          <w:color w:val="5B9BD5" w:themeColor="accent5"/>
        </w:rPr>
        <w:t xml:space="preserve">Fig. 5 </w:t>
      </w:r>
      <w:r>
        <w:rPr>
          <w:color w:val="000000" w:themeColor="text1"/>
        </w:rPr>
        <w:t xml:space="preserve">and </w:t>
      </w:r>
      <w:r>
        <w:rPr>
          <w:color w:val="5B9BD5" w:themeColor="accent5"/>
        </w:rPr>
        <w:t>Fig. 6</w:t>
      </w:r>
      <w:r>
        <w:rPr>
          <w:color w:val="000000" w:themeColor="text1"/>
        </w:rPr>
        <w:t xml:space="preserve">. This distinction becomes more pronounced when the nanofluids exhibit shear-thinning behavior. In </w:t>
      </w:r>
      <w:r>
        <w:rPr>
          <w:color w:val="5B9BD5" w:themeColor="accent5"/>
        </w:rPr>
        <w:t>Fig. 6</w:t>
      </w:r>
      <w:r>
        <w:rPr>
          <w:color w:val="000000" w:themeColor="text1"/>
        </w:rPr>
        <w:t xml:space="preserve">, all nanofluids display similar behavior at various </w:t>
      </w:r>
      <w:r>
        <w:rPr/>
      </w:r>
      <m:oMath xmlns:m="http://schemas.openxmlformats.org/officeDocument/2006/math">
        <m:r>
          <w:rPr>
            <w:rFonts w:ascii="Cambria Math" w:hAnsi="Cambria Math"/>
          </w:rPr>
          <m:t xml:space="preserve">Ra</m:t>
        </m:r>
      </m:oMath>
      <w:r>
        <w:rPr>
          <w:color w:val="000000" w:themeColor="text1"/>
        </w:rPr>
        <w:t xml:space="preserve">, however, it was found that </w:t>
      </w:r>
      <w:r>
        <w:rPr/>
      </w:r>
      <m:oMath xmlns:m="http://schemas.openxmlformats.org/officeDocument/2006/math">
        <m:r>
          <w:rPr>
            <w:rFonts w:ascii="Cambria Math" w:hAnsi="Cambria Math"/>
          </w:rPr>
          <m:t xml:space="preserve">Cu</m:t>
        </m:r>
      </m:oMath>
      <w:r>
        <w:rPr>
          <w:color w:val="000000" w:themeColor="text1"/>
        </w:rPr>
        <w:t xml:space="preserve"> provided the highest heat transport compared to the other considered nanofluids.</w:t>
      </w:r>
    </w:p>
    <w:tbl>
      <w:tblPr>
        <w:tblStyle w:val="af2"/>
        <w:tblW w:w="8641" w:type="dxa"/>
        <w:jc w:val="left"/>
        <w:tblInd w:w="0" w:type="dxa"/>
        <w:tblCellMar>
          <w:top w:w="0" w:type="dxa"/>
          <w:left w:w="0" w:type="dxa"/>
          <w:bottom w:w="0" w:type="dxa"/>
          <w:right w:w="0" w:type="dxa"/>
        </w:tblCellMar>
        <w:tblLook w:val="04a0" w:noHBand="0" w:noVBand="1" w:firstColumn="1" w:lastRow="0" w:lastColumn="0" w:firstRow="1"/>
      </w:tblPr>
      <w:tblGrid>
        <w:gridCol w:w="2898"/>
        <w:gridCol w:w="2900"/>
        <w:gridCol w:w="2843"/>
      </w:tblGrid>
      <w:tr>
        <w:trPr/>
        <w:tc>
          <w:tcPr>
            <w:tcW w:w="2898" w:type="dxa"/>
            <w:tcBorders>
              <w:top w:val="nil"/>
              <w:left w:val="nil"/>
              <w:bottom w:val="nil"/>
              <w:right w:val="nil"/>
            </w:tcBorders>
            <w:vAlign w:val="center"/>
          </w:tcPr>
          <w:p>
            <w:pPr>
              <w:pStyle w:val="Normal"/>
              <w:keepNext w:val="true"/>
              <w:keepLines/>
              <w:spacing w:before="0" w:after="0"/>
              <w:jc w:val="center"/>
              <w:rPr>
                <w:iCs/>
                <w:color w:val="FF0000"/>
              </w:rPr>
            </w:pPr>
            <w:r>
              <w:rPr>
                <w:iCs/>
              </w:rPr>
              <w:t>(a)</w:t>
            </w:r>
          </w:p>
        </w:tc>
        <w:tc>
          <w:tcPr>
            <w:tcW w:w="2900" w:type="dxa"/>
            <w:tcBorders>
              <w:top w:val="nil"/>
              <w:left w:val="nil"/>
              <w:bottom w:val="nil"/>
              <w:right w:val="nil"/>
            </w:tcBorders>
            <w:vAlign w:val="center"/>
          </w:tcPr>
          <w:p>
            <w:pPr>
              <w:pStyle w:val="Normal"/>
              <w:keepNext w:val="true"/>
              <w:keepLines/>
              <w:spacing w:before="0" w:after="0"/>
              <w:jc w:val="center"/>
              <w:rPr>
                <w:iCs/>
                <w:color w:val="FF0000"/>
              </w:rPr>
            </w:pPr>
            <w:r>
              <w:rPr>
                <w:iCs/>
              </w:rPr>
              <w:t>(b)</w:t>
            </w:r>
          </w:p>
        </w:tc>
        <w:tc>
          <w:tcPr>
            <w:tcW w:w="2843" w:type="dxa"/>
            <w:tcBorders>
              <w:top w:val="nil"/>
              <w:left w:val="nil"/>
              <w:bottom w:val="nil"/>
              <w:right w:val="nil"/>
            </w:tcBorders>
            <w:vAlign w:val="center"/>
          </w:tcPr>
          <w:p>
            <w:pPr>
              <w:pStyle w:val="Normal"/>
              <w:keepNext w:val="true"/>
              <w:keepLines/>
              <w:spacing w:before="0" w:after="0"/>
              <w:jc w:val="center"/>
              <w:rPr>
                <w:iCs/>
                <w:color w:val="FF0000"/>
              </w:rPr>
            </w:pPr>
            <w:r>
              <w:rPr>
                <w:iCs/>
              </w:rPr>
              <w:t>(c)</w:t>
            </w:r>
          </w:p>
        </w:tc>
      </w:tr>
      <w:tr>
        <w:trPr/>
        <w:tc>
          <w:tcPr>
            <w:tcW w:w="2898"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46580" cy="1943735"/>
                  <wp:effectExtent l="0" t="0" r="0" b="0"/>
                  <wp:docPr id="1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
                          <pic:cNvPicPr>
                            <a:picLocks noChangeAspect="1" noChangeArrowheads="1"/>
                          </pic:cNvPicPr>
                        </pic:nvPicPr>
                        <pic:blipFill>
                          <a:blip r:embed="rId14"/>
                          <a:srcRect l="8272" t="8212" r="12242" b="5221"/>
                          <a:stretch>
                            <a:fillRect/>
                          </a:stretch>
                        </pic:blipFill>
                        <pic:spPr bwMode="auto">
                          <a:xfrm>
                            <a:off x="0" y="0"/>
                            <a:ext cx="1846580" cy="1943735"/>
                          </a:xfrm>
                          <a:prstGeom prst="rect">
                            <a:avLst/>
                          </a:prstGeom>
                        </pic:spPr>
                      </pic:pic>
                    </a:graphicData>
                  </a:graphic>
                </wp:inline>
              </w:drawing>
            </w:r>
          </w:p>
        </w:tc>
        <w:tc>
          <w:tcPr>
            <w:tcW w:w="2900"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38960" cy="1943735"/>
                  <wp:effectExtent l="0" t="0" r="0" b="0"/>
                  <wp:docPr id="1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
                          <pic:cNvPicPr>
                            <a:picLocks noChangeAspect="1" noChangeArrowheads="1"/>
                          </pic:cNvPicPr>
                        </pic:nvPicPr>
                        <pic:blipFill>
                          <a:blip r:embed="rId15"/>
                          <a:srcRect l="8003" t="9091" r="11739" b="6142"/>
                          <a:stretch>
                            <a:fillRect/>
                          </a:stretch>
                        </pic:blipFill>
                        <pic:spPr bwMode="auto">
                          <a:xfrm>
                            <a:off x="0" y="0"/>
                            <a:ext cx="1838960" cy="1943735"/>
                          </a:xfrm>
                          <a:prstGeom prst="rect">
                            <a:avLst/>
                          </a:prstGeom>
                        </pic:spPr>
                      </pic:pic>
                    </a:graphicData>
                  </a:graphic>
                </wp:inline>
              </w:drawing>
            </w:r>
          </w:p>
        </w:tc>
        <w:tc>
          <w:tcPr>
            <w:tcW w:w="2843"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12290" cy="1943735"/>
                  <wp:effectExtent l="0" t="0" r="0" b="0"/>
                  <wp:docPr id="1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
                          <pic:cNvPicPr>
                            <a:picLocks noChangeAspect="1" noChangeArrowheads="1"/>
                          </pic:cNvPicPr>
                        </pic:nvPicPr>
                        <pic:blipFill>
                          <a:blip r:embed="rId16"/>
                          <a:srcRect l="8689" t="8518" r="12312" b="5415"/>
                          <a:stretch>
                            <a:fillRect/>
                          </a:stretch>
                        </pic:blipFill>
                        <pic:spPr bwMode="auto">
                          <a:xfrm>
                            <a:off x="0" y="0"/>
                            <a:ext cx="1812290" cy="194373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4:</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n</m:t>
        </m:r>
      </m:oMath>
      <w:r>
        <w:rPr>
          <w:color w:val="000000" w:themeColor="text1"/>
        </w:rPr>
        <w:t xml:space="preserve"> and </w:t>
      </w:r>
      <w:r>
        <w:rPr/>
      </w:r>
      <m:oMath xmlns:m="http://schemas.openxmlformats.org/officeDocument/2006/math">
        <m:r>
          <w:rPr>
            <w:rFonts w:ascii="Cambria Math" w:hAnsi="Cambria Math"/>
          </w:rPr>
          <m:t xml:space="preserve">φ</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 (a)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r>
          <w:rPr>
            <w:rFonts w:ascii="Cambria Math" w:hAnsi="Cambria Math"/>
          </w:rPr>
          <m:t xml:space="preserve">−</m:t>
        </m:r>
        <m:r>
          <w:rPr>
            <w:rFonts w:ascii="Cambria Math" w:hAnsi="Cambria Math"/>
          </w:rPr>
          <m:t xml:space="preserve">water</m:t>
        </m:r>
      </m:oMath>
      <w:r>
        <w:rPr>
          <w:color w:val="000000" w:themeColor="text1"/>
        </w:rPr>
        <w:t xml:space="preserve">, (b) </w:t>
      </w:r>
      <w:r>
        <w:rPr/>
      </w:r>
      <m:oMath xmlns:m="http://schemas.openxmlformats.org/officeDocument/2006/math">
        <m:r>
          <w:rPr>
            <w:rFonts w:ascii="Cambria Math" w:hAnsi="Cambria Math"/>
          </w:rPr>
          <m:t xml:space="preserve">TiO</m:t>
        </m:r>
        <m:r>
          <w:rPr>
            <w:rFonts w:ascii="Cambria Math" w:hAnsi="Cambria Math"/>
          </w:rPr>
          <m:t xml:space="preserve">2</m:t>
        </m:r>
        <m:r>
          <w:rPr>
            <w:rFonts w:ascii="Cambria Math" w:hAnsi="Cambria Math"/>
          </w:rPr>
          <m:t xml:space="preserve">−</m:t>
        </m:r>
        <m:r>
          <w:rPr>
            <w:rFonts w:ascii="Cambria Math" w:hAnsi="Cambria Math"/>
          </w:rPr>
          <m:t xml:space="preserve">water</m:t>
        </m:r>
      </m:oMath>
      <w:r>
        <w:rPr>
          <w:color w:val="000000" w:themeColor="text1"/>
        </w:rPr>
        <w:t xml:space="preserve"> and (c)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nanofluids.</w:t>
      </w:r>
    </w:p>
    <w:p>
      <w:pPr>
        <w:pStyle w:val="Normal"/>
        <w:ind w:firstLine="440"/>
        <w:jc w:val="center"/>
        <w:rPr>
          <w:color w:val="000000" w:themeColor="text1"/>
        </w:rPr>
      </w:pPr>
      <w:r>
        <w:rPr/>
        <w:drawing>
          <wp:inline distT="0" distB="0" distL="0" distR="0">
            <wp:extent cx="2545080" cy="2160270"/>
            <wp:effectExtent l="0" t="0" r="0" b="0"/>
            <wp:docPr id="18"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Une image contenant texte, ligne, diagramme, Tracé&#10;&#10;Description générée automatiquement"/>
                    <pic:cNvPicPr>
                      <a:picLocks noChangeAspect="1" noChangeArrowheads="1"/>
                    </pic:cNvPicPr>
                  </pic:nvPicPr>
                  <pic:blipFill>
                    <a:blip r:embed="rId17"/>
                    <a:srcRect l="9312" t="8636" r="12294" b="4412"/>
                    <a:stretch>
                      <a:fillRect/>
                    </a:stretch>
                  </pic:blipFill>
                  <pic:spPr bwMode="auto">
                    <a:xfrm>
                      <a:off x="0" y="0"/>
                      <a:ext cx="2545080" cy="2160270"/>
                    </a:xfrm>
                    <a:prstGeom prst="rect">
                      <a:avLst/>
                    </a:prstGeom>
                  </pic:spPr>
                </pic:pic>
              </a:graphicData>
            </a:graphic>
          </wp:inline>
        </w:drawing>
      </w:r>
    </w:p>
    <w:p>
      <w:pPr>
        <w:pStyle w:val="Normal"/>
        <w:ind w:firstLine="442"/>
        <w:jc w:val="center"/>
        <w:rPr>
          <w:color w:val="000000" w:themeColor="text1"/>
        </w:rPr>
      </w:pPr>
      <w:r>
        <w:rPr>
          <w:b/>
          <w:color w:val="000000" w:themeColor="text1"/>
          <w:szCs w:val="22"/>
        </w:rPr>
        <w:t xml:space="preserve">Figure 5: </w:t>
      </w:r>
      <w:r>
        <w:rPr>
          <w:color w:val="000000" w:themeColor="text1"/>
        </w:rPr>
        <w:t xml:space="preserve">Influence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for varied </w:t>
      </w:r>
      <w:r>
        <w:rPr/>
      </w:r>
      <m:oMath xmlns:m="http://schemas.openxmlformats.org/officeDocument/2006/math">
        <m:r>
          <w:rPr>
            <w:rFonts w:ascii="Cambria Math" w:hAnsi="Cambria Math"/>
          </w:rPr>
          <m:t xml:space="preserve">φ</m:t>
        </m:r>
      </m:oMath>
      <w:r>
        <w:rPr>
          <w:color w:val="000000" w:themeColor="text1"/>
        </w:rPr>
        <w:t xml:space="preserve">, at fixed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jc w:val="center"/>
        <w:rPr>
          <w:color w:val="000000" w:themeColor="text1"/>
        </w:rPr>
      </w:pPr>
      <w:r>
        <w:rPr/>
        <w:drawing>
          <wp:inline distT="0" distB="0" distL="0" distR="0">
            <wp:extent cx="2660015" cy="2160270"/>
            <wp:effectExtent l="0" t="0" r="0" b="0"/>
            <wp:docPr id="1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Une image contenant texte, ligne, diagramme, Tracé&#10;&#10;Description générée automatiquement"/>
                    <pic:cNvPicPr>
                      <a:picLocks noChangeAspect="1" noChangeArrowheads="1"/>
                    </pic:cNvPicPr>
                  </pic:nvPicPr>
                  <pic:blipFill>
                    <a:blip r:embed="rId18"/>
                    <a:srcRect l="7920" t="9279" r="12219" b="6008"/>
                    <a:stretch>
                      <a:fillRect/>
                    </a:stretch>
                  </pic:blipFill>
                  <pic:spPr bwMode="auto">
                    <a:xfrm>
                      <a:off x="0" y="0"/>
                      <a:ext cx="2660015" cy="2160270"/>
                    </a:xfrm>
                    <a:prstGeom prst="rect">
                      <a:avLst/>
                    </a:prstGeom>
                  </pic:spPr>
                </pic:pic>
              </a:graphicData>
            </a:graphic>
          </wp:inline>
        </w:drawing>
      </w:r>
    </w:p>
    <w:p>
      <w:pPr>
        <w:pStyle w:val="Normal"/>
        <w:ind w:firstLine="442"/>
        <w:rPr>
          <w:color w:val="000000" w:themeColor="text1"/>
        </w:rPr>
      </w:pPr>
      <w:r>
        <w:rPr>
          <w:b/>
          <w:color w:val="000000" w:themeColor="text1"/>
          <w:szCs w:val="22"/>
        </w:rPr>
        <w:t>Figure 6:</w:t>
      </w:r>
      <w:r>
        <w:rPr>
          <w:color w:val="000000" w:themeColor="text1"/>
        </w:rPr>
        <w:t xml:space="preserve"> Effect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different </w:t>
      </w:r>
      <w:r>
        <w:rPr/>
      </w:r>
      <m:oMath xmlns:m="http://schemas.openxmlformats.org/officeDocument/2006/math">
        <m:r>
          <w:rPr>
            <w:rFonts w:ascii="Cambria Math" w:hAnsi="Cambria Math"/>
          </w:rPr>
          <m:t xml:space="preserve">Ra</m:t>
        </m:r>
      </m:oMath>
      <w:r>
        <w:rPr>
          <w:color w:val="000000" w:themeColor="text1"/>
        </w:rPr>
        <w:t xml:space="preserve">, at fixed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rPr>
          <w:color w:val="000000" w:themeColor="text1"/>
        </w:rPr>
      </w:pPr>
      <w:r>
        <w:rPr>
          <w:color w:val="5B9BD5" w:themeColor="accent5"/>
        </w:rPr>
        <w:t xml:space="preserve">Fig. 7 </w:t>
      </w:r>
      <w:r>
        <w:rPr>
          <w:color w:val="000000" w:themeColor="text1"/>
        </w:rPr>
        <w:t xml:space="preserve">provides a visual representation of the circulation of liquid and thermal transmission in Cu-water nanofluids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This specific set of conditions corresponds to the previously observed most significant heat transfer enhancement. The outcomes are presented to analyze the combined influence of the power-law (</w:t>
      </w:r>
      <w:r>
        <w:rPr/>
      </w:r>
      <m:oMath xmlns:m="http://schemas.openxmlformats.org/officeDocument/2006/math">
        <m:r>
          <w:rPr>
            <w:rFonts w:ascii="Cambria Math" w:hAnsi="Cambria Math"/>
          </w:rPr>
          <m:t xml:space="preserve">0.6</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index and the dimensions of the fin on heat transfer, as depicted through streamlines and isotherms. These visualizations aim to offer insights into the intricate fluid dynamics and thermal distribution within the device under varying rheological behaviors and fin geometries.</w:t>
      </w:r>
    </w:p>
    <w:p>
      <w:pPr>
        <w:pStyle w:val="Normal"/>
        <w:ind w:firstLine="440"/>
        <w:rPr>
          <w:color w:val="000000" w:themeColor="text1"/>
        </w:rPr>
      </w:pPr>
      <w:r>
        <w:rPr>
          <w:color w:val="000000" w:themeColor="text1"/>
        </w:rPr>
        <w:t xml:space="preserve">It is apparent from </w:t>
      </w:r>
      <w:r>
        <w:rPr>
          <w:color w:val="5B9BD5" w:themeColor="accent5"/>
        </w:rPr>
        <w:t xml:space="preserve">Fig. 8 </w:t>
      </w:r>
      <w:r>
        <w:rPr>
          <w:color w:val="000000" w:themeColor="text1"/>
        </w:rPr>
        <w:t xml:space="preserve">that as the n value increases (decreases), the intensity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p>
    <w:p>
      <w:pPr>
        <w:pStyle w:val="Normal"/>
        <w:ind w:firstLine="440"/>
        <w:rPr>
          <w:color w:val="000000" w:themeColor="text1"/>
        </w:rPr>
      </w:pPr>
      <w:r>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p>
    <w:p>
      <w:pPr>
        <w:pStyle w:val="Normal"/>
        <w:ind w:firstLine="440"/>
        <w:rPr>
          <w:color w:val="000000" w:themeColor="text1"/>
        </w:rPr>
      </w:pPr>
      <w:r>
        <w:rPr>
          <w:color w:val="000000" w:themeColor="text1"/>
        </w:rPr>
        <w:t xml:space="preserve">The observation notes that the streamlines intensity represented by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raises with the enlargement of the fin dimension. This indicates a more vigorous and intensified flow within the cavity. A more intense flow, can contribute to a highly efficient exchange of heat among the fluid and the surfaces of the cavity.</w:t>
      </w:r>
    </w:p>
    <w:p>
      <w:pPr>
        <w:pStyle w:val="Normal"/>
        <w:ind w:firstLine="440"/>
        <w:rPr>
          <w:color w:val="000000" w:themeColor="text1"/>
        </w:rPr>
      </w:pPr>
      <w:r>
        <w:rPr>
          <w:color w:val="000000" w:themeColor="text1"/>
        </w:rPr>
        <w:t>It should be emphasized that the presence of the fin and its vertical positioning at the center significantly increases the rate of heat transport in the enclosure. This finding is in line with the research of Saravanan et al. [24] in the context of pure convection, where they compared the horizontal and vertical positions. This improvement of heat transfer is facilitated by the rise of the area surface provided by the fin, allowing for more contact between the fin and the surrounding fluid.</w:t>
      </w:r>
    </w:p>
    <w:p>
      <w:pPr>
        <w:pStyle w:val="Normal"/>
        <w:ind w:firstLine="440"/>
        <w:rPr>
          <w:color w:val="000000" w:themeColor="text1"/>
        </w:rPr>
      </w:pPr>
      <w:r>
        <w:rPr>
          <w:color w:val="000000" w:themeColor="text1"/>
        </w:rPr>
        <w:t xml:space="preserve">The influence of the fin's dimensions and the index of power law on heat transport is more apparent in the results found in terms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shown in </w:t>
      </w:r>
      <w:r>
        <w:rPr>
          <w:color w:val="5B9BD5" w:themeColor="accent5"/>
        </w:rPr>
        <w:t>Fig. 9</w:t>
      </w:r>
      <w:r>
        <w:rPr>
          <w:color w:val="000000" w:themeColor="text1"/>
        </w:rPr>
        <w:t xml:space="preserve">. This parameter increases with the rising of the </w:t>
      </w:r>
      <w:r>
        <w:rPr/>
      </w:r>
      <m:oMath xmlns:m="http://schemas.openxmlformats.org/officeDocument/2006/math">
        <m:r>
          <w:rPr>
            <w:rFonts w:ascii="Cambria Math" w:hAnsi="Cambria Math"/>
          </w:rPr>
          <m:t xml:space="preserve">Cu</m:t>
        </m:r>
      </m:oMath>
      <w:r>
        <w:rPr>
          <w:color w:val="000000" w:themeColor="text1"/>
        </w:rPr>
        <w:t xml:space="preserve"> nanoparticle volume fractions, enlargement of the fin dimension and a lower value of the index power law (</w:t>
      </w:r>
      <w:r>
        <w:rPr/>
      </w:r>
      <m:oMath xmlns:m="http://schemas.openxmlformats.org/officeDocument/2006/math">
        <m:r>
          <w:rPr>
            <w:rFonts w:ascii="Cambria Math" w:hAnsi="Cambria Math"/>
          </w:rPr>
          <m:t xml:space="preserve">n</m:t>
        </m:r>
      </m:oMath>
      <w:r>
        <w:rPr>
          <w:color w:val="000000" w:themeColor="text1"/>
        </w:rPr>
        <w:t xml:space="preserve">). The shear-thinning nanofluid at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exhibits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accentuating the most important enhancement of heat transfer.</w:t>
      </w:r>
    </w:p>
    <w:tbl>
      <w:tblPr>
        <w:tblStyle w:val="af2"/>
        <w:tblW w:w="8641" w:type="dxa"/>
        <w:jc w:val="center"/>
        <w:tblInd w:w="0" w:type="dxa"/>
        <w:tblCellMar>
          <w:top w:w="0" w:type="dxa"/>
          <w:left w:w="0" w:type="dxa"/>
          <w:bottom w:w="0" w:type="dxa"/>
          <w:right w:w="0" w:type="dxa"/>
        </w:tblCellMar>
        <w:tblLook w:val="04a0" w:noHBand="0" w:noVBand="1" w:firstColumn="1" w:lastRow="0" w:lastColumn="0" w:firstRow="1"/>
      </w:tblPr>
      <w:tblGrid>
        <w:gridCol w:w="421"/>
        <w:gridCol w:w="2793"/>
        <w:gridCol w:w="2719"/>
        <w:gridCol w:w="2707"/>
      </w:tblGrid>
      <w:tr>
        <w:trPr/>
        <w:tc>
          <w:tcPr>
            <w:tcW w:w="421" w:type="dxa"/>
            <w:tcBorders>
              <w:top w:val="nil"/>
              <w:left w:val="nil"/>
              <w:bottom w:val="nil"/>
              <w:right w:val="nil"/>
            </w:tcBorders>
            <w:vAlign w:val="center"/>
          </w:tcPr>
          <w:p>
            <w:pPr>
              <w:pStyle w:val="Normal"/>
              <w:keepNext w:val="true"/>
              <w:keepLines/>
              <w:spacing w:before="0" w:after="0"/>
              <w:jc w:val="center"/>
              <w:rPr>
                <w:iCs/>
              </w:rPr>
            </w:pPr>
            <w:r>
              <w:rPr>
                <w:iCs/>
              </w:rPr>
            </w:r>
          </w:p>
        </w:tc>
        <w:tc>
          <w:tcPr>
            <w:tcW w:w="2793"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9"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07"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68780" cy="1597025"/>
                  <wp:effectExtent l="0" t="0" r="0" b="0"/>
                  <wp:docPr id="20"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3" descr="Une image contenant texte, dessin, diagramme, conception&#10;&#10;Description générée automatiquement"/>
                          <pic:cNvPicPr>
                            <a:picLocks noChangeAspect="1" noChangeArrowheads="1"/>
                          </pic:cNvPicPr>
                        </pic:nvPicPr>
                        <pic:blipFill>
                          <a:blip r:embed="rId19"/>
                          <a:srcRect l="14211" t="16751" r="16351" b="16837"/>
                          <a:stretch>
                            <a:fillRect/>
                          </a:stretch>
                        </pic:blipFill>
                        <pic:spPr bwMode="auto">
                          <a:xfrm>
                            <a:off x="0" y="0"/>
                            <a:ext cx="1668780" cy="159702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70685" cy="1641475"/>
                  <wp:effectExtent l="0" t="0" r="0" b="0"/>
                  <wp:docPr id="21"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5" descr="Une image contenant texte, dessin, Graphique, diagramme&#10;&#10;Description générée automatiquement"/>
                          <pic:cNvPicPr>
                            <a:picLocks noChangeAspect="1" noChangeArrowheads="1"/>
                          </pic:cNvPicPr>
                        </pic:nvPicPr>
                        <pic:blipFill>
                          <a:blip r:embed="rId20"/>
                          <a:srcRect l="14635" t="16210" r="17083" b="16689"/>
                          <a:stretch>
                            <a:fillRect/>
                          </a:stretch>
                        </pic:blipFill>
                        <pic:spPr bwMode="auto">
                          <a:xfrm>
                            <a:off x="0" y="0"/>
                            <a:ext cx="1670685" cy="16414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20520" cy="1633220"/>
                  <wp:effectExtent l="0" t="0" r="0" b="0"/>
                  <wp:docPr id="22"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7" descr="Une image contenant dessin, texte, Graphique, Dessin d’enfant&#10;&#10;Description générée automatiquement"/>
                          <pic:cNvPicPr>
                            <a:picLocks noChangeAspect="1" noChangeArrowheads="1"/>
                          </pic:cNvPicPr>
                        </pic:nvPicPr>
                        <pic:blipFill>
                          <a:blip r:embed="rId21"/>
                          <a:srcRect l="14425" t="16570" r="16119" b="16238"/>
                          <a:stretch>
                            <a:fillRect/>
                          </a:stretch>
                        </pic:blipFill>
                        <pic:spPr bwMode="auto">
                          <a:xfrm>
                            <a:off x="0" y="0"/>
                            <a:ext cx="1620520" cy="163322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1480" cy="1598295"/>
                  <wp:effectExtent l="0" t="0" r="0" b="0"/>
                  <wp:docPr id="23"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Une image contenant texte, dessin, diagramme, conception&#10;&#10;Description générée automatiquement"/>
                          <pic:cNvPicPr>
                            <a:picLocks noChangeAspect="1" noChangeArrowheads="1"/>
                          </pic:cNvPicPr>
                        </pic:nvPicPr>
                        <pic:blipFill>
                          <a:blip r:embed="rId22"/>
                          <a:srcRect l="12799" t="16487" r="17518" b="17234"/>
                          <a:stretch>
                            <a:fillRect/>
                          </a:stretch>
                        </pic:blipFill>
                        <pic:spPr bwMode="auto">
                          <a:xfrm>
                            <a:off x="0" y="0"/>
                            <a:ext cx="1681480" cy="159829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97355" cy="1603375"/>
                  <wp:effectExtent l="0" t="0" r="0" b="0"/>
                  <wp:docPr id="24"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Une image contenant Graphique, dessin, graphisme, Caractère coloré&#10;&#10;Description générée automatiquement"/>
                          <pic:cNvPicPr>
                            <a:picLocks noChangeAspect="1" noChangeArrowheads="1"/>
                          </pic:cNvPicPr>
                        </pic:nvPicPr>
                        <pic:blipFill>
                          <a:blip r:embed="rId23"/>
                          <a:srcRect l="14212" t="16631" r="16471" b="15902"/>
                          <a:stretch>
                            <a:fillRect/>
                          </a:stretch>
                        </pic:blipFill>
                        <pic:spPr bwMode="auto">
                          <a:xfrm>
                            <a:off x="0" y="0"/>
                            <a:ext cx="1697355" cy="16033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5290" cy="1623060"/>
                  <wp:effectExtent l="0" t="0" r="0" b="0"/>
                  <wp:docPr id="25"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1" descr="Une image contenant Graphique, graphisme, Caractère coloré, conception&#10;&#10;Description générée automatiquement"/>
                          <pic:cNvPicPr>
                            <a:picLocks noChangeAspect="1" noChangeArrowheads="1"/>
                          </pic:cNvPicPr>
                        </pic:nvPicPr>
                        <pic:blipFill>
                          <a:blip r:embed="rId24"/>
                          <a:srcRect l="13677" t="16325" r="16605" b="16605"/>
                          <a:stretch>
                            <a:fillRect/>
                          </a:stretch>
                        </pic:blipFill>
                        <pic:spPr bwMode="auto">
                          <a:xfrm>
                            <a:off x="0" y="0"/>
                            <a:ext cx="1685290" cy="162306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769110" cy="1623060"/>
                  <wp:effectExtent l="0" t="0" r="0" b="0"/>
                  <wp:docPr id="26" name="Image15"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Une image contenant texte, diagramme, conception&#10;&#10;Description générée automatiquement"/>
                          <pic:cNvPicPr>
                            <a:picLocks noChangeAspect="1" noChangeArrowheads="1"/>
                          </pic:cNvPicPr>
                        </pic:nvPicPr>
                        <pic:blipFill>
                          <a:blip r:embed="rId25"/>
                          <a:srcRect l="12278" t="16479" r="12992" b="16612"/>
                          <a:stretch>
                            <a:fillRect/>
                          </a:stretch>
                        </pic:blipFill>
                        <pic:spPr bwMode="auto">
                          <a:xfrm>
                            <a:off x="0" y="0"/>
                            <a:ext cx="1769110" cy="1623060"/>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58620" cy="1613535"/>
                  <wp:effectExtent l="0" t="0" r="0" b="0"/>
                  <wp:docPr id="27"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1" descr="Une image contenant Caractère coloré, texte, Graphique, capture d’écran&#10;&#10;Description générée automatiquement"/>
                          <pic:cNvPicPr>
                            <a:picLocks noChangeAspect="1" noChangeArrowheads="1"/>
                          </pic:cNvPicPr>
                        </pic:nvPicPr>
                        <pic:blipFill>
                          <a:blip r:embed="rId26"/>
                          <a:stretch>
                            <a:fillRect/>
                          </a:stretch>
                        </pic:blipFill>
                        <pic:spPr bwMode="auto">
                          <a:xfrm>
                            <a:off x="0" y="0"/>
                            <a:ext cx="1658620" cy="161353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38300" cy="1619885"/>
                  <wp:effectExtent l="0" t="0" r="0" b="0"/>
                  <wp:docPr id="28"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descr="Une image contenant texte, Graphique, capture d’écran, Caractère coloré&#10;&#10;Description générée automatiquement"/>
                          <pic:cNvPicPr>
                            <a:picLocks noChangeAspect="1" noChangeArrowheads="1"/>
                          </pic:cNvPicPr>
                        </pic:nvPicPr>
                        <pic:blipFill>
                          <a:blip r:embed="rId27"/>
                          <a:srcRect l="13821" t="16652" r="16139" b="16279"/>
                          <a:stretch>
                            <a:fillRect/>
                          </a:stretch>
                        </pic:blipFill>
                        <pic:spPr bwMode="auto">
                          <a:xfrm>
                            <a:off x="0" y="0"/>
                            <a:ext cx="1638300" cy="1619885"/>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7:</w:t>
      </w:r>
      <w:r>
        <w:rPr>
          <w:color w:val="000000" w:themeColor="text1"/>
        </w:rPr>
        <w:t xml:space="preserve"> Isotherms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469"/>
        <w:gridCol w:w="2737"/>
        <w:gridCol w:w="2714"/>
        <w:gridCol w:w="2719"/>
      </w:tblGrid>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30680" cy="1619885"/>
                  <wp:effectExtent l="0" t="0" r="0" b="0"/>
                  <wp:docPr id="29" name="Image16"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Une image contenant dessin, croquis, Graphique, Dessin d’enfant&#10;&#10;Description générée automatiquement"/>
                          <pic:cNvPicPr>
                            <a:picLocks noChangeAspect="1" noChangeArrowheads="1"/>
                          </pic:cNvPicPr>
                        </pic:nvPicPr>
                        <pic:blipFill>
                          <a:blip r:embed="rId28"/>
                          <a:srcRect l="15871" t="16092" r="15895" b="16116"/>
                          <a:stretch>
                            <a:fillRect/>
                          </a:stretch>
                        </pic:blipFill>
                        <pic:spPr bwMode="auto">
                          <a:xfrm>
                            <a:off x="0" y="0"/>
                            <a:ext cx="1630680" cy="1619885"/>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3695" cy="1621155"/>
                  <wp:effectExtent l="0" t="0" r="0" b="0"/>
                  <wp:docPr id="30" name="Image17"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Une image contenant Graphique, dessin, cercle, graphisme&#10;&#10;Description générée automatiquement"/>
                          <pic:cNvPicPr>
                            <a:picLocks noChangeAspect="1" noChangeArrowheads="1"/>
                          </pic:cNvPicPr>
                        </pic:nvPicPr>
                        <pic:blipFill>
                          <a:blip r:embed="rId29"/>
                          <a:srcRect l="15982" t="16311" r="16222" b="16006"/>
                          <a:stretch>
                            <a:fillRect/>
                          </a:stretch>
                        </pic:blipFill>
                        <pic:spPr bwMode="auto">
                          <a:xfrm>
                            <a:off x="0" y="0"/>
                            <a:ext cx="1623695" cy="162115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20520" cy="1648460"/>
                  <wp:effectExtent l="0" t="0" r="0" b="0"/>
                  <wp:docPr id="31" name="Image18"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Une image contenant cercle, Caractère coloré, Graphique, art&#10;&#10;Description générée automatiquement"/>
                          <pic:cNvPicPr>
                            <a:picLocks noChangeAspect="1" noChangeArrowheads="1"/>
                          </pic:cNvPicPr>
                        </pic:nvPicPr>
                        <pic:blipFill>
                          <a:blip r:embed="rId30"/>
                          <a:stretch>
                            <a:fillRect/>
                          </a:stretch>
                        </pic:blipFill>
                        <pic:spPr bwMode="auto">
                          <a:xfrm>
                            <a:off x="0" y="0"/>
                            <a:ext cx="1620520" cy="164846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49.800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23.760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7.953</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59890" cy="1652270"/>
                  <wp:effectExtent l="0" t="0" r="0" b="0"/>
                  <wp:docPr id="32" name="Image20"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Une image contenant croquis, dessin, Dessin d’enfant, Graphique&#10;&#10;Description générée automatiquement"/>
                          <pic:cNvPicPr>
                            <a:picLocks noChangeAspect="1" noChangeArrowheads="1"/>
                          </pic:cNvPicPr>
                        </pic:nvPicPr>
                        <pic:blipFill>
                          <a:blip r:embed="rId31"/>
                          <a:srcRect l="15672" t="15672" r="15533" b="15898"/>
                          <a:stretch>
                            <a:fillRect/>
                          </a:stretch>
                        </pic:blipFill>
                        <pic:spPr bwMode="auto">
                          <a:xfrm>
                            <a:off x="0" y="0"/>
                            <a:ext cx="1659890" cy="165227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45920" cy="1663065"/>
                  <wp:effectExtent l="0" t="0" r="0" b="0"/>
                  <wp:docPr id="33" name="Image2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Une image contenant Graphique, Caractère coloré, cercle, graphisme&#10;&#10;Description générée automatiquement"/>
                          <pic:cNvPicPr>
                            <a:picLocks noChangeAspect="1" noChangeArrowheads="1"/>
                          </pic:cNvPicPr>
                        </pic:nvPicPr>
                        <pic:blipFill>
                          <a:blip r:embed="rId32"/>
                          <a:srcRect l="15709" t="15518" r="15865" b="15345"/>
                          <a:stretch>
                            <a:fillRect/>
                          </a:stretch>
                        </pic:blipFill>
                        <pic:spPr bwMode="auto">
                          <a:xfrm>
                            <a:off x="0" y="0"/>
                            <a:ext cx="1645920" cy="166306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45285" cy="1652270"/>
                  <wp:effectExtent l="0" t="0" r="0" b="0"/>
                  <wp:docPr id="34" name="Image24"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Une image contenant Caractère coloré, Graphique, cercle, art&#10;&#10;Description générée automatiquement"/>
                          <pic:cNvPicPr>
                            <a:picLocks noChangeAspect="1" noChangeArrowheads="1"/>
                          </pic:cNvPicPr>
                        </pic:nvPicPr>
                        <pic:blipFill>
                          <a:blip r:embed="rId33"/>
                          <a:srcRect l="16050" t="15693" r="15880" b="15880"/>
                          <a:stretch>
                            <a:fillRect/>
                          </a:stretch>
                        </pic:blipFill>
                        <pic:spPr bwMode="auto">
                          <a:xfrm>
                            <a:off x="0" y="0"/>
                            <a:ext cx="1645285" cy="165227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52.070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25.020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8.266</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09090" cy="1607820"/>
                  <wp:effectExtent l="0" t="0" r="0" b="0"/>
                  <wp:docPr id="35"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 descr="Une image contenant croquis, Dessin d’enfant, dessin, Graphique&#10;&#10;Description générée automatiquement"/>
                          <pic:cNvPicPr>
                            <a:picLocks noChangeAspect="1" noChangeArrowheads="1"/>
                          </pic:cNvPicPr>
                        </pic:nvPicPr>
                        <pic:blipFill>
                          <a:blip r:embed="rId34"/>
                          <a:srcRect l="16216" t="15935" r="15935" b="15777"/>
                          <a:stretch>
                            <a:fillRect/>
                          </a:stretch>
                        </pic:blipFill>
                        <pic:spPr bwMode="auto">
                          <a:xfrm>
                            <a:off x="0" y="0"/>
                            <a:ext cx="1609090" cy="160782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7505" cy="1609090"/>
                  <wp:effectExtent l="0" t="0" r="0" b="0"/>
                  <wp:docPr id="36"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9" descr="Une image contenant cercle, Caractère coloré, Graphique, art&#10;&#10;Description générée automatiquement"/>
                          <pic:cNvPicPr>
                            <a:picLocks noChangeAspect="1" noChangeArrowheads="1"/>
                          </pic:cNvPicPr>
                        </pic:nvPicPr>
                        <pic:blipFill>
                          <a:blip r:embed="rId35"/>
                          <a:srcRect l="16079" t="16217" r="15802" b="16321"/>
                          <a:stretch>
                            <a:fillRect/>
                          </a:stretch>
                        </pic:blipFill>
                        <pic:spPr bwMode="auto">
                          <a:xfrm>
                            <a:off x="0" y="0"/>
                            <a:ext cx="1627505" cy="1609090"/>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61795" cy="1620520"/>
                  <wp:effectExtent l="0" t="0" r="0" b="0"/>
                  <wp:docPr id="37" name="Image32"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Une image contenant Caractère coloré, cercle, Graphique, art&#10;&#10;Description générée automatiquement"/>
                          <pic:cNvPicPr>
                            <a:picLocks noChangeAspect="1" noChangeArrowheads="1"/>
                          </pic:cNvPicPr>
                        </pic:nvPicPr>
                        <pic:blipFill>
                          <a:blip r:embed="rId36"/>
                          <a:srcRect l="0" t="1093" r="0" b="1372"/>
                          <a:stretch>
                            <a:fillRect/>
                          </a:stretch>
                        </pic:blipFill>
                        <pic:spPr bwMode="auto">
                          <a:xfrm>
                            <a:off x="0" y="0"/>
                            <a:ext cx="1661795" cy="162052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53.760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27.030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8.562</m:t>
              </m:r>
            </m:oMath>
          </w:p>
        </w:tc>
      </w:tr>
    </w:tbl>
    <w:p>
      <w:pPr>
        <w:pStyle w:val="Normal"/>
        <w:ind w:firstLine="442"/>
        <w:jc w:val="center"/>
        <w:rPr>
          <w:color w:val="000000" w:themeColor="text1"/>
        </w:rPr>
      </w:pPr>
      <w:r>
        <w:rPr>
          <w:b/>
          <w:color w:val="000000" w:themeColor="text1"/>
          <w:szCs w:val="22"/>
        </w:rPr>
        <w:t xml:space="preserve">Figure 8: </w:t>
      </w:r>
      <w:r>
        <w:rPr>
          <w:color w:val="000000" w:themeColor="text1"/>
        </w:rPr>
        <w:t xml:space="preserve">Streamlines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2896"/>
        <w:gridCol w:w="2872"/>
        <w:gridCol w:w="2872"/>
      </w:tblGrid>
      <w:tr>
        <w:trPr>
          <w:trHeight w:val="20" w:hRule="atLeast"/>
        </w:trPr>
        <w:tc>
          <w:tcPr>
            <w:tcW w:w="2896"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2896"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95780" cy="1871980"/>
                  <wp:effectExtent l="0" t="0" r="0" b="0"/>
                  <wp:docPr id="38"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6" descr=""/>
                          <pic:cNvPicPr>
                            <a:picLocks noChangeAspect="1" noChangeArrowheads="1"/>
                          </pic:cNvPicPr>
                        </pic:nvPicPr>
                        <pic:blipFill>
                          <a:blip r:embed="rId37"/>
                          <a:srcRect l="8309" t="8469" r="11936" b="4659"/>
                          <a:stretch>
                            <a:fillRect/>
                          </a:stretch>
                        </pic:blipFill>
                        <pic:spPr bwMode="auto">
                          <a:xfrm>
                            <a:off x="0" y="0"/>
                            <a:ext cx="179578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6570" cy="1871980"/>
                  <wp:effectExtent l="0" t="0" r="0" b="0"/>
                  <wp:docPr id="39"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7" descr=""/>
                          <pic:cNvPicPr>
                            <a:picLocks noChangeAspect="1" noChangeArrowheads="1"/>
                          </pic:cNvPicPr>
                        </pic:nvPicPr>
                        <pic:blipFill>
                          <a:blip r:embed="rId38"/>
                          <a:srcRect l="8601" t="8851" r="11824" b="3929"/>
                          <a:stretch>
                            <a:fillRect/>
                          </a:stretch>
                        </pic:blipFill>
                        <pic:spPr bwMode="auto">
                          <a:xfrm>
                            <a:off x="0" y="0"/>
                            <a:ext cx="176657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5300" cy="1871980"/>
                  <wp:effectExtent l="0" t="0" r="0" b="0"/>
                  <wp:docPr id="4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8" descr=""/>
                          <pic:cNvPicPr>
                            <a:picLocks noChangeAspect="1" noChangeArrowheads="1"/>
                          </pic:cNvPicPr>
                        </pic:nvPicPr>
                        <pic:blipFill>
                          <a:blip r:embed="rId39"/>
                          <a:srcRect l="7864" t="7454" r="12225" b="4768"/>
                          <a:stretch>
                            <a:fillRect/>
                          </a:stretch>
                        </pic:blipFill>
                        <pic:spPr bwMode="auto">
                          <a:xfrm>
                            <a:off x="0" y="0"/>
                            <a:ext cx="1765300" cy="1871980"/>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9:</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φ</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w:t>
      </w:r>
      <w:r>
        <w:rPr/>
      </w:r>
      <m:oMath xmlns:m="http://schemas.openxmlformats.org/officeDocument/2006/math">
        <m:r>
          <w:rPr>
            <w:rFonts w:ascii="Cambria Math" w:hAnsi="Cambria Math"/>
          </w:rPr>
          <m:t xml:space="preserve">n</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Cu-water nanofluid.</w:t>
      </w:r>
    </w:p>
    <w:p>
      <w:pPr>
        <w:pStyle w:val="Normal"/>
        <w:ind w:firstLine="440"/>
        <w:rPr>
          <w:color w:val="000000" w:themeColor="text1"/>
        </w:rPr>
      </w:pPr>
      <w:r>
        <w:rPr>
          <w:color w:val="5B9BD5" w:themeColor="accent5"/>
        </w:rPr>
        <w:t xml:space="preserve">Fig. 10 </w:t>
      </w:r>
      <w:r>
        <w:rPr>
          <w:color w:val="000000" w:themeColor="text1"/>
        </w:rPr>
        <w:t xml:space="preserve">shows that, at a constant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reduces with a higher index of power law (</w:t>
      </w:r>
      <w:r>
        <w:rPr/>
      </w:r>
      <m:oMath xmlns:m="http://schemas.openxmlformats.org/officeDocument/2006/math">
        <m:r>
          <w:rPr>
            <w:rFonts w:ascii="Cambria Math" w:hAnsi="Cambria Math"/>
          </w:rPr>
          <m:t xml:space="preserve">n</m:t>
        </m:r>
      </m:oMath>
      <w:r>
        <w:rPr>
          <w:color w:val="000000" w:themeColor="text1"/>
        </w:rPr>
        <w:t>) and smaller fin dimension (</w:t>
      </w:r>
      <w:r>
        <w:rPr/>
      </w:r>
      <m:oMath xmlns:m="http://schemas.openxmlformats.org/officeDocument/2006/math">
        <m:r>
          <w:rPr>
            <w:rFonts w:ascii="Cambria Math" w:hAnsi="Cambria Math"/>
          </w:rPr>
          <m:t xml:space="preserve">Ar</m:t>
        </m:r>
      </m:oMath>
      <w:r>
        <w:rPr>
          <w:color w:val="000000" w:themeColor="text1"/>
        </w:rPr>
        <w:t xml:space="preserve">). The impact of the fin's dimension is more pronounced for shear-thinning nanofluids compared to Newtonian and even more so compared to shear-thickening nanofluids. The highest </w:t>
      </w:r>
      <w:r>
        <w:rPr/>
      </w:r>
      <m:oMath xmlns:m="http://schemas.openxmlformats.org/officeDocument/2006/math">
        <m:r>
          <w:rPr>
            <w:rFonts w:ascii="Cambria Math" w:hAnsi="Cambria Math"/>
          </w:rPr>
          <m:t xml:space="preserve">Nu</m:t>
        </m:r>
      </m:oMath>
      <w:r>
        <w:rPr>
          <w:color w:val="000000" w:themeColor="text1"/>
        </w:rPr>
        <w:t xml:space="preserve"> is seen for shear-thinning nanofluid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this combination yields the most efficient convective heat transfer under the specified conditions. These findings emphasize the significance of both rheological properties and fin geometry in influencing heat transfer efficiency within the cavity. </w:t>
      </w:r>
    </w:p>
    <w:p>
      <w:pPr>
        <w:pStyle w:val="Normal"/>
        <w:ind w:firstLine="440"/>
        <w:jc w:val="center"/>
        <w:rPr>
          <w:color w:val="000000" w:themeColor="text1"/>
        </w:rPr>
      </w:pPr>
      <w:r>
        <w:rPr/>
        <w:drawing>
          <wp:inline distT="0" distB="0" distL="0" distR="0">
            <wp:extent cx="3096260" cy="2602865"/>
            <wp:effectExtent l="0" t="0" r="0" b="0"/>
            <wp:docPr id="41"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5" descr="Une image contenant texte, ligne, diagramme, Tracé&#10;&#10;Description générée automatiquement"/>
                    <pic:cNvPicPr>
                      <a:picLocks noChangeAspect="1" noChangeArrowheads="1"/>
                    </pic:cNvPicPr>
                  </pic:nvPicPr>
                  <pic:blipFill>
                    <a:blip r:embed="rId40"/>
                    <a:srcRect l="8243" t="8759" r="11803" b="3394"/>
                    <a:stretch>
                      <a:fillRect/>
                    </a:stretch>
                  </pic:blipFill>
                  <pic:spPr bwMode="auto">
                    <a:xfrm>
                      <a:off x="0" y="0"/>
                      <a:ext cx="3096260" cy="2602865"/>
                    </a:xfrm>
                    <a:prstGeom prst="rect">
                      <a:avLst/>
                    </a:prstGeom>
                  </pic:spPr>
                </pic:pic>
              </a:graphicData>
            </a:graphic>
          </wp:inline>
        </w:drawing>
      </w:r>
    </w:p>
    <w:p>
      <w:pPr>
        <w:pStyle w:val="Normal"/>
        <w:ind w:firstLine="442"/>
        <w:rPr>
          <w:color w:val="000000" w:themeColor="text1"/>
        </w:rPr>
      </w:pPr>
      <w:r>
        <w:rPr>
          <w:b/>
          <w:color w:val="000000" w:themeColor="text1"/>
          <w:szCs w:val="22"/>
        </w:rPr>
        <w:t>Figure 10:</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for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p>
      <w:pPr>
        <w:pStyle w:val="Normal"/>
        <w:widowControl w:val="false"/>
        <w:snapToGrid w:val="false"/>
        <w:spacing w:before="240" w:after="60"/>
        <w:rPr>
          <w:b/>
          <w:b/>
          <w:color w:val="000000" w:themeColor="text1"/>
          <w:szCs w:val="22"/>
        </w:rPr>
      </w:pPr>
      <w:r>
        <w:rPr>
          <w:b/>
          <w:color w:val="000000" w:themeColor="text1"/>
          <w:szCs w:val="22"/>
        </w:rPr>
        <w:t xml:space="preserve">5 </w:t>
      </w:r>
      <w:r>
        <w:rPr>
          <w:b/>
          <w:bCs/>
          <w:szCs w:val="22"/>
        </w:rPr>
        <w:t>Conclusions</w:t>
      </w:r>
    </w:p>
    <w:p>
      <w:pPr>
        <w:pStyle w:val="Normal"/>
        <w:widowControl w:val="false"/>
        <w:snapToGrid w:val="false"/>
        <w:ind w:firstLine="426"/>
        <w:rPr>
          <w:color w:val="000000" w:themeColor="text1"/>
          <w:w w:val="105"/>
        </w:rPr>
      </w:pPr>
      <w:r>
        <w:rPr>
          <w:color w:val="000000" w:themeColor="text1"/>
          <w:w w:val="105"/>
        </w:rPr>
        <w:t xml:space="preserve">In the current study, heat transfer by free convection for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w w:val="105"/>
        </w:rPr>
        <w:t xml:space="preserve"> power-law nanofluid in a square enclosure with the presence of a vertical fin was carried out. This study covered the relevant parameters within the following ranges: the index of power-law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color w:val="000000" w:themeColor="text1"/>
          <w:w w:val="105"/>
        </w:rPr>
        <w:t xml:space="preserve">),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w w:val="105"/>
        </w:rPr>
        <w:t>, the volume fractions ("φ"=0-20% ) and the dimensions of the fin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0.3,0</m:t>
        </m:r>
        <m:r>
          <w:rPr>
            <w:rFonts w:ascii="Cambria Math" w:hAnsi="Cambria Math"/>
          </w:rPr>
          <m:t xml:space="preserve">.5,0</m:t>
        </m:r>
        <m:r>
          <w:rPr>
            <w:rFonts w:ascii="Cambria Math" w:hAnsi="Cambria Math"/>
          </w:rPr>
          <m:t xml:space="preserve">.7</m:t>
        </m:r>
      </m:oMath>
      <w:r>
        <w:rPr>
          <w:color w:val="000000" w:themeColor="text1"/>
          <w:w w:val="105"/>
        </w:rPr>
        <w:t>).</w:t>
      </w:r>
    </w:p>
    <w:p>
      <w:pPr>
        <w:pStyle w:val="Normal"/>
        <w:widowControl w:val="false"/>
        <w:snapToGrid w:val="false"/>
        <w:ind w:firstLine="426"/>
        <w:rPr>
          <w:color w:val="000000" w:themeColor="text1"/>
          <w:w w:val="105"/>
        </w:rPr>
      </w:pPr>
      <w:r>
        <w:rPr>
          <w:color w:val="000000" w:themeColor="text1"/>
          <w:w w:val="105"/>
        </w:rPr>
        <w:t>The following outcomes have been concluded:</w:t>
      </w:r>
    </w:p>
    <w:p>
      <w:pPr>
        <w:pStyle w:val="ListParagraph"/>
        <w:numPr>
          <w:ilvl w:val="0"/>
          <w:numId w:val="1"/>
        </w:numPr>
        <w:spacing w:before="0" w:after="160"/>
        <w:contextualSpacing/>
        <w:rPr>
          <w:color w:val="000000" w:themeColor="text1"/>
          <w:w w:val="105"/>
        </w:rPr>
      </w:pPr>
      <w:r>
        <w:rPr>
          <w:color w:val="000000" w:themeColor="text1"/>
          <w:w w:val="105"/>
        </w:rPr>
        <w:t xml:space="preserve">For shear-thinning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demonstrate the highest Nusselt numbers.</w:t>
      </w:r>
    </w:p>
    <w:p>
      <w:pPr>
        <w:pStyle w:val="ListParagraph"/>
        <w:numPr>
          <w:ilvl w:val="0"/>
          <w:numId w:val="1"/>
        </w:numPr>
        <w:spacing w:before="0" w:after="160"/>
        <w:contextualSpacing/>
        <w:rPr>
          <w:color w:val="000000" w:themeColor="text1"/>
          <w:w w:val="105"/>
        </w:rPr>
      </w:pPr>
      <w:r>
        <w:rPr>
          <w:color w:val="000000" w:themeColor="text1"/>
          <w:w w:val="105"/>
        </w:rPr>
        <w:t xml:space="preserve">In the shear-thickening rheological behavior, adding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nanoparticles have a more significant effect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4</m:t>
            </m:r>
          </m:sup>
        </m:sSup>
      </m:oMath>
      <w:r>
        <w:rPr>
          <w:color w:val="000000" w:themeColor="text1"/>
          <w:w w:val="105"/>
        </w:rPr>
        <w:t>.</w:t>
      </w:r>
    </w:p>
    <w:p>
      <w:pPr>
        <w:pStyle w:val="ListParagraph"/>
        <w:numPr>
          <w:ilvl w:val="0"/>
          <w:numId w:val="1"/>
        </w:numPr>
        <w:spacing w:before="0" w:after="160"/>
        <w:contextualSpacing/>
        <w:rPr>
          <w:color w:val="000000" w:themeColor="text1"/>
          <w:w w:val="105"/>
        </w:rPr>
      </w:pPr>
      <w:r>
        <w:rPr>
          <w:color w:val="000000" w:themeColor="text1"/>
          <w:w w:val="105"/>
        </w:rPr>
        <w:t>For Newtonian fluid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p>
      <w:pPr>
        <w:pStyle w:val="ListParagraph"/>
        <w:numPr>
          <w:ilvl w:val="0"/>
          <w:numId w:val="1"/>
        </w:numPr>
        <w:spacing w:before="0" w:after="160"/>
        <w:contextualSpacing/>
        <w:rPr>
          <w:color w:val="000000" w:themeColor="text1"/>
          <w:w w:val="105"/>
        </w:rPr>
      </w:pPr>
      <w:r>
        <w:rPr>
          <w:color w:val="000000" w:themeColor="text1"/>
          <w:w w:val="105"/>
        </w:rPr>
        <w:t xml:space="preserve">The most significant impact of nanoparticles adding on the heat transfer is recorded at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color w:val="000000" w:themeColor="text1"/>
          <w:w w:val="105"/>
        </w:rPr>
        <w:t xml:space="preserve"> for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w:t>
      </w:r>
    </w:p>
    <w:p>
      <w:pPr>
        <w:pStyle w:val="ListParagraph"/>
        <w:numPr>
          <w:ilvl w:val="0"/>
          <w:numId w:val="1"/>
        </w:numPr>
        <w:spacing w:before="0" w:after="160"/>
        <w:contextualSpacing/>
        <w:rPr>
          <w:color w:val="000000" w:themeColor="text1"/>
          <w:w w:val="105"/>
        </w:rPr>
      </w:pPr>
      <w:bookmarkStart w:id="11" w:name="_Hlk150762674"/>
      <w:r>
        <w:rPr>
          <w:color w:val="000000" w:themeColor="text1"/>
          <w:w w:val="105"/>
        </w:rPr>
        <w:t xml:space="preserve">The </w:t>
      </w:r>
      <w:r>
        <w:rPr/>
      </w:r>
      <m:oMath xmlns:m="http://schemas.openxmlformats.org/officeDocument/2006/math">
        <m:r>
          <w:rPr>
            <w:rFonts w:ascii="Cambria Math" w:hAnsi="Cambria Math"/>
          </w:rPr>
          <m:t xml:space="preserve">Cu</m:t>
        </m:r>
      </m:oMath>
      <w:r>
        <w:rPr>
          <w:color w:val="000000" w:themeColor="text1"/>
          <w:w w:val="105"/>
        </w:rPr>
        <w:t xml:space="preserve">’s nanoparticles provided the highest heat transfer compared with </w:t>
      </w:r>
      <w:bookmarkEnd w:id="11"/>
      <w:r>
        <w:rPr>
          <w:color w:val="000000" w:themeColor="text1"/>
          <w:w w:val="105"/>
        </w:rPr>
        <w:t xml:space="preserve">the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w w:val="105"/>
        </w:rPr>
        <w:t xml:space="preserve">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w w:val="105"/>
        </w:rPr>
        <w:t xml:space="preserve"> nanoparticles.</w:t>
      </w:r>
    </w:p>
    <w:p>
      <w:pPr>
        <w:pStyle w:val="ListParagraph"/>
        <w:widowControl w:val="false"/>
        <w:numPr>
          <w:ilvl w:val="0"/>
          <w:numId w:val="1"/>
        </w:numPr>
        <w:snapToGrid w:val="false"/>
        <w:rPr>
          <w:color w:val="000000" w:themeColor="text1"/>
          <w:w w:val="105"/>
        </w:rPr>
      </w:pPr>
      <w:r>
        <w:rPr>
          <w:color w:val="000000" w:themeColor="text1"/>
          <w:w w:val="105"/>
        </w:rPr>
        <w:t xml:space="preserve">The impact of the fin's dimension is more pronounced for shear-thinning nanofluids compared to Newtonian and even more so compared to shear-thickening nanofluids.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w w:val="105"/>
        </w:rPr>
        <w:t xml:space="preserve"> is observed for nanofluid shear-thinning of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w w:val="105"/>
        </w:rPr>
        <w:t>.</w:t>
      </w:r>
    </w:p>
    <w:p>
      <w:pPr>
        <w:pStyle w:val="Normal"/>
        <w:widowControl w:val="false"/>
        <w:snapToGrid w:val="false"/>
        <w:ind w:firstLine="426"/>
        <w:rPr>
          <w:color w:val="000000" w:themeColor="text1"/>
          <w:w w:val="105"/>
        </w:rPr>
      </w:pPr>
      <w:r>
        <w:rPr>
          <w:iCs/>
        </w:rPr>
        <w:t>In summary, the improvement of heat transport in the square enclosure</w:t>
      </w:r>
      <w:r>
        <w:rPr>
          <w:rFonts w:ascii="Minion Pro" w:hAnsi="Minion Pro"/>
          <w:b/>
          <w:bCs/>
          <w:kern w:val="2"/>
          <w:sz w:val="28"/>
          <w:szCs w:val="28"/>
        </w:rPr>
        <w:t xml:space="preserve"> </w:t>
      </w:r>
      <w:r>
        <w:rPr>
          <w:iCs/>
        </w:rPr>
        <w:t xml:space="preserve">is represented by the increment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iCs/>
        </w:rPr>
        <w:t xml:space="preserve">. It enhances with the decrease for index of power law, which speeds up the flow because of the reduction of the viscosity of the fluid, the increase of </w:t>
      </w:r>
      <w:r>
        <w:rPr/>
      </w:r>
      <m:oMath xmlns:m="http://schemas.openxmlformats.org/officeDocument/2006/math">
        <m:r>
          <w:rPr>
            <w:rFonts w:ascii="Cambria Math" w:hAnsi="Cambria Math"/>
          </w:rPr>
          <m:t xml:space="preserve">Ra</m:t>
        </m:r>
      </m:oMath>
      <w:r>
        <w:rPr>
          <w:iCs/>
        </w:rPr>
        <w:t xml:space="preserve"> which causes the change of the heat transport mechanism from conductive to convective, the rise of nanoparticles volume fractions and the enlargement of the vertical fin.</w:t>
      </w:r>
    </w:p>
    <w:p>
      <w:pPr>
        <w:pStyle w:val="Normal"/>
        <w:widowControl w:val="false"/>
        <w:snapToGrid w:val="false"/>
        <w:rPr>
          <w:color w:val="000000" w:themeColor="text1"/>
          <w:szCs w:val="22"/>
        </w:rPr>
      </w:pPr>
      <w:r>
        <w:rPr>
          <w:b/>
          <w:color w:val="000000" w:themeColor="text1"/>
          <w:szCs w:val="22"/>
        </w:rPr>
        <w:t>Acknowledgement:</w:t>
      </w:r>
      <w:r>
        <w:rPr>
          <w:color w:val="000000" w:themeColor="text1"/>
          <w:szCs w:val="22"/>
        </w:rPr>
        <w:t xml:space="preserve"> </w:t>
      </w:r>
      <w:r>
        <w:rPr>
          <w:bCs/>
          <w:iCs/>
        </w:rPr>
        <w:t>The authors gratefully acknowledge the LERMAB laboratory for fostering an enabling environment for this research and facilitating the first author’s participation in the conference in Italy. Special thanks are also due to Prof. Amina Sabeur (LSIM, UST d’Oran)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iCs/>
        </w:rPr>
        <w:t>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CRTEn for providing her some flight tickets</w:t>
      </w:r>
      <w:r>
        <w:rPr>
          <w:color w:val="000000" w:themeColor="text1"/>
          <w:szCs w:val="22"/>
        </w:rPr>
        <w:t>.</w:t>
      </w:r>
    </w:p>
    <w:p>
      <w:pPr>
        <w:pStyle w:val="Keyword"/>
        <w:widowControl w:val="false"/>
        <w:snapToGrid w:val="false"/>
        <w:spacing w:before="312" w:after="60"/>
        <w:rPr>
          <w:lang w:val="en-GB"/>
        </w:rPr>
      </w:pPr>
      <w:r>
        <w:rPr>
          <w:b/>
          <w:bCs/>
          <w:color w:val="000000" w:themeColor="text1"/>
          <w:szCs w:val="22"/>
        </w:rPr>
        <w:t xml:space="preserve">Author Contributions: </w:t>
      </w:r>
      <w:r>
        <w:rPr>
          <w:lang w:val="en-GB"/>
        </w:rPr>
        <w:t>The authors confirm contribution to the paper as follows: study conception and design: A. M’hadbi, H. Ben Hamed; numerical validation: A. M’hadbi, K. Chtaibi; data collection: A. M’hadbi; analysis and interpretation of results: A. M’hadbi, M. El Ganaoui, A. Guizani; draft manuscript preparation: A. M’hadbi. All authors reviewed the results and approved the final version of the manuscript.</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iCs/>
        </w:rPr>
        <w:t>Should a request be made for data used in the study, the authors will endeavor to make the information available</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TextBody"/>
        <w:rPr>
          <w:rFonts w:eastAsia="宋体"/>
          <w:color w:val="auto"/>
          <w:lang w:eastAsia="zh-CN"/>
        </w:rPr>
      </w:pPr>
      <w:r>
        <w:rPr>
          <w:rFonts w:eastAsia="宋体"/>
          <w:color w:val="000000"/>
          <w:shd w:fill="auto" w:val="clear"/>
          <w:lang w:eastAsia="zh-CN"/>
        </w:rPr>
        <w:t>References</w:t>
      </w:r>
    </w:p>
    <w:p>
      <w:pPr>
        <w:pStyle w:val="Normal"/>
        <w:ind w:hanging="640"/>
        <w:rPr>
          <w:rFonts w:eastAsia="Times New Roman"/>
          <w:sz w:val="24"/>
          <w:szCs w:val="24"/>
        </w:rPr>
      </w:pPr>
      <w:r>
        <w:rPr>
          <w:rFonts w:eastAsia="Times New Roman"/>
        </w:rPr>
        <w:t>[1]</w:t>
        <w:tab/>
        <w:t xml:space="preserve">A. Baïri, E. Zarco-Pernia, and J. M. García De María, “A review on natural convection in enclosures for engineering applications. the particular case of the parallelogrammic diode cavity,” </w:t>
      </w:r>
      <w:r>
        <w:rPr>
          <w:rFonts w:eastAsia="Times New Roman"/>
          <w:i/>
          <w:iCs/>
        </w:rPr>
        <w:t>Applied Thermal Engineering</w:t>
      </w:r>
      <w:r>
        <w:rPr>
          <w:rFonts w:eastAsia="Times New Roman"/>
        </w:rPr>
        <w:t>, vol. 63, no. 1. Elsevier Ltd, pp. 304–322, Feb. 05, 2014. doi: 10.1016/j.applthermaleng.2013.10.065.</w:t>
      </w:r>
    </w:p>
    <w:p>
      <w:pPr>
        <w:pStyle w:val="Normal"/>
        <w:ind w:hanging="640"/>
        <w:rPr>
          <w:rFonts w:eastAsia="Times New Roman"/>
        </w:rPr>
      </w:pPr>
      <w:r>
        <w:rPr>
          <w:rFonts w:eastAsia="Times New Roman"/>
        </w:rPr>
        <w:t>[2]</w:t>
        <w:tab/>
        <w:t xml:space="preserve">L. S. Sundar, Md. H. Farooky, S. N. Sarada, and M. K. Singh, “Experimental thermal conductivity of ethylene glycol and water mixture based low volume concentration of Al2O3 and CuO nanofluids,” </w:t>
      </w:r>
      <w:r>
        <w:rPr>
          <w:rFonts w:eastAsia="Times New Roman"/>
          <w:i/>
          <w:iCs/>
        </w:rPr>
        <w:t>International Communications in Heat and Mass Transfer</w:t>
      </w:r>
      <w:r>
        <w:rPr>
          <w:rFonts w:eastAsia="Times New Roman"/>
        </w:rPr>
        <w:t>, vol. 41, pp. 41–46, 2013, doi: https://doi.org/10.1016/j.icheatmasstransfer.2012.11.004.</w:t>
      </w:r>
    </w:p>
    <w:p>
      <w:pPr>
        <w:pStyle w:val="Normal"/>
        <w:ind w:hanging="640"/>
        <w:rPr>
          <w:rFonts w:eastAsia="Times New Roman"/>
        </w:rPr>
      </w:pPr>
      <w:r>
        <w:rPr>
          <w:rFonts w:eastAsia="Times New Roman"/>
        </w:rPr>
        <w:t>[3]</w:t>
        <w:tab/>
        <w:t xml:space="preserve">M. Lomascolo, G. Colangelo, M. Milanese, and A. de Risi, “Review of heat transfer in nanofluids: Conductive, convective and radiative experimental results,” </w:t>
      </w:r>
      <w:r>
        <w:rPr>
          <w:rFonts w:eastAsia="Times New Roman"/>
          <w:i/>
          <w:iCs/>
        </w:rPr>
        <w:t>Renewable and Sustainable Energy Reviews</w:t>
      </w:r>
      <w:r>
        <w:rPr>
          <w:rFonts w:eastAsia="Times New Roman"/>
        </w:rPr>
        <w:t>, vol. 43, pp. 1182–1198, 2015, doi: https://doi.org/10.1016/j.rser.2014.11.086.</w:t>
      </w:r>
    </w:p>
    <w:p>
      <w:pPr>
        <w:pStyle w:val="Normal"/>
        <w:ind w:hanging="640"/>
        <w:rPr>
          <w:rFonts w:eastAsia="Times New Roman"/>
        </w:rPr>
      </w:pPr>
      <w:r>
        <w:rPr>
          <w:rFonts w:eastAsia="Times New Roman"/>
        </w:rPr>
        <w:t>[4]</w:t>
        <w:tab/>
        <w:t xml:space="preserve">B. Ali, R. A. Naqvi, L. Ali, S. Abdal, and S. Hussain, “A comparative description on time-dependent rotating magnetic transport of a water base liquid H2O with hybrid nano-materials Al2O3-Cu and Al2O3-TiO2 over an extending sheet using Buongiorno model: Finite element approach,” </w:t>
      </w:r>
      <w:r>
        <w:rPr>
          <w:rFonts w:eastAsia="Times New Roman"/>
          <w:i/>
          <w:iCs/>
        </w:rPr>
        <w:t>Chinese Journal of Physics</w:t>
      </w:r>
      <w:r>
        <w:rPr>
          <w:rFonts w:eastAsia="Times New Roman"/>
        </w:rPr>
        <w:t>, vol. 70, pp. 125–139, 2021, doi: https://doi.org/10.1016/j.cjph.2020.12.022.</w:t>
      </w:r>
    </w:p>
    <w:p>
      <w:pPr>
        <w:pStyle w:val="Normal"/>
        <w:ind w:hanging="640"/>
        <w:rPr>
          <w:rFonts w:eastAsia="Times New Roman"/>
        </w:rPr>
      </w:pPr>
      <w:r>
        <w:rPr>
          <w:rFonts w:eastAsia="Times New Roman"/>
        </w:rPr>
        <w:t>[5]</w:t>
        <w:tab/>
        <w:t xml:space="preserve">Md. S. Islam, S. Islam, and Md. N.-A.-A. Siddiki, “Numerical simulation with sensitivity analysis of MHD natural convection using Cu-TiO2-H2O hybrid nanofluids,” </w:t>
      </w:r>
      <w:r>
        <w:rPr>
          <w:rFonts w:eastAsia="Times New Roman"/>
          <w:i/>
          <w:iCs/>
        </w:rPr>
        <w:t>International Journal of Thermofluids</w:t>
      </w:r>
      <w:r>
        <w:rPr>
          <w:rFonts w:eastAsia="Times New Roman"/>
        </w:rPr>
        <w:t>, vol. 20, p. 100509, 2023, doi: https://doi.org/10.1016/j.ijft.2023.100509.</w:t>
      </w:r>
    </w:p>
    <w:p>
      <w:pPr>
        <w:pStyle w:val="Normal"/>
        <w:ind w:hanging="640"/>
        <w:rPr>
          <w:rFonts w:eastAsia="Times New Roman"/>
        </w:rPr>
      </w:pPr>
      <w:r>
        <w:rPr>
          <w:rFonts w:eastAsia="Times New Roman"/>
        </w:rPr>
        <w:t>[6]</w:t>
        <w:tab/>
        <w:t xml:space="preserve">V. Rajesh and H. F. Öztop, “Heat transfer in a non-isothermal walled square closed space filled with ternary hybrid nanofluids,” </w:t>
      </w:r>
      <w:r>
        <w:rPr>
          <w:rFonts w:eastAsia="Times New Roman"/>
          <w:i/>
          <w:iCs/>
        </w:rPr>
        <w:t>Chem Phys</w:t>
      </w:r>
      <w:r>
        <w:rPr>
          <w:rFonts w:eastAsia="Times New Roman"/>
        </w:rPr>
        <w:t>, vol. 577, p. 112133, 2024, doi: https://doi.org/10.1016/j.chemphys.2023.112133.</w:t>
      </w:r>
    </w:p>
    <w:p>
      <w:pPr>
        <w:pStyle w:val="Normal"/>
        <w:ind w:hanging="640"/>
        <w:rPr>
          <w:rFonts w:eastAsia="Times New Roman"/>
        </w:rPr>
      </w:pPr>
      <w:r>
        <w:rPr>
          <w:rFonts w:eastAsia="Times New Roman"/>
        </w:rPr>
        <w:t>[7]</w:t>
        <w:tab/>
        <w:t xml:space="preserve">O. Abouali and G. Ahmadi, “Computer simulations of natural convection of single phase nanofluids in simple enclosures: A critical review,” </w:t>
      </w:r>
      <w:r>
        <w:rPr>
          <w:rFonts w:eastAsia="Times New Roman"/>
          <w:i/>
          <w:iCs/>
        </w:rPr>
        <w:t>Appl Therm Eng</w:t>
      </w:r>
      <w:r>
        <w:rPr>
          <w:rFonts w:eastAsia="Times New Roman"/>
        </w:rPr>
        <w:t>, vol. 36, pp. 1–13, 2012, doi: https://doi.org/10.1016/j.applthermaleng.2011.11.065.</w:t>
      </w:r>
    </w:p>
    <w:p>
      <w:pPr>
        <w:pStyle w:val="Normal"/>
        <w:ind w:hanging="640"/>
        <w:rPr>
          <w:rFonts w:eastAsia="Times New Roman"/>
        </w:rPr>
      </w:pPr>
      <w:r>
        <w:rPr>
          <w:rFonts w:eastAsia="Times New Roman"/>
        </w:rPr>
        <w:t>[8]</w:t>
        <w:tab/>
        <w:t xml:space="preserve">A. I. Alsabery </w:t>
      </w:r>
      <w:r>
        <w:rPr>
          <w:rFonts w:eastAsia="Times New Roman"/>
          <w:i/>
          <w:iCs/>
        </w:rPr>
        <w:t>et al.</w:t>
      </w:r>
      <w:r>
        <w:rPr>
          <w:rFonts w:eastAsia="Times New Roman"/>
        </w:rPr>
        <w:t xml:space="preserve">, “Convection heat transfer in enclosures with inner bodies: A review on single and two-phase nanofluid models,” </w:t>
      </w:r>
      <w:r>
        <w:rPr>
          <w:rFonts w:eastAsia="Times New Roman"/>
          <w:i/>
          <w:iCs/>
        </w:rPr>
        <w:t>Renewable and Sustainable Energy Reviews</w:t>
      </w:r>
      <w:r>
        <w:rPr>
          <w:rFonts w:eastAsia="Times New Roman"/>
        </w:rPr>
        <w:t>, vol. 183, p. 113424, 2023, doi: https://doi.org/10.1016/j.rser.2023.113424.</w:t>
      </w:r>
    </w:p>
    <w:p>
      <w:pPr>
        <w:pStyle w:val="Normal"/>
        <w:ind w:hanging="640"/>
        <w:rPr>
          <w:rFonts w:eastAsia="Times New Roman"/>
        </w:rPr>
      </w:pPr>
      <w:r>
        <w:rPr>
          <w:rFonts w:eastAsia="Times New Roman"/>
        </w:rPr>
        <w:t>[9]</w:t>
        <w:tab/>
        <w:t xml:space="preserve">L. Snoussi, R. Chouikh, N. Ouerfelli, and A. Guizani, “Numerical simulation of heat transfer enhancement for natural convection in a cubical enclosure filled with Al2O3/water and Ag/water nanofluids,” </w:t>
      </w:r>
      <w:r>
        <w:rPr>
          <w:rFonts w:eastAsia="Times New Roman"/>
          <w:i/>
          <w:iCs/>
        </w:rPr>
        <w:t>Phys Chem Liquids</w:t>
      </w:r>
      <w:r>
        <w:rPr>
          <w:rFonts w:eastAsia="Times New Roman"/>
        </w:rPr>
        <w:t>, vol. 54, no. 6, pp. 703–716, 2016, doi: 10.1080/00319104.2016.1149173.</w:t>
      </w:r>
    </w:p>
    <w:p>
      <w:pPr>
        <w:pStyle w:val="Normal"/>
        <w:ind w:hanging="640"/>
        <w:rPr>
          <w:rFonts w:eastAsia="Times New Roman"/>
        </w:rPr>
      </w:pPr>
      <w:r>
        <w:rPr>
          <w:rFonts w:eastAsia="Times New Roman"/>
        </w:rPr>
        <w:t>[10]</w:t>
        <w:tab/>
        <w:t xml:space="preserve">A. Bendaraa, M. M. Charafi, and A. Hasnaoui, “Numerical study of natural convection in a differentially heated square cavity filled with nanofluid in the presence of fins attached to walls in different locations,” </w:t>
      </w:r>
      <w:r>
        <w:rPr>
          <w:rFonts w:eastAsia="Times New Roman"/>
          <w:i/>
          <w:iCs/>
        </w:rPr>
        <w:t>Physics of Fluids</w:t>
      </w:r>
      <w:r>
        <w:rPr>
          <w:rFonts w:eastAsia="Times New Roman"/>
        </w:rPr>
        <w:t>, vol. 31, no. 5, May 2019, doi: 10.1063/1.5091709.</w:t>
      </w:r>
    </w:p>
    <w:p>
      <w:pPr>
        <w:pStyle w:val="Normal"/>
        <w:ind w:hanging="640"/>
        <w:rPr>
          <w:rFonts w:eastAsia="Times New Roman"/>
        </w:rPr>
      </w:pPr>
      <w:r>
        <w:rPr>
          <w:rFonts w:eastAsia="Times New Roman"/>
        </w:rPr>
        <w:t>[11]</w:t>
        <w:tab/>
        <w:t xml:space="preserve">S. Y. Motlagh and H. Soltanipour, “Natural convection of Al2O3-water nanofluid in an inclined cavity using Buongiorno’s two-phase model,” </w:t>
      </w:r>
      <w:r>
        <w:rPr>
          <w:rFonts w:eastAsia="Times New Roman"/>
          <w:i/>
          <w:iCs/>
        </w:rPr>
        <w:t>International Journal of Thermal Sciences</w:t>
      </w:r>
      <w:r>
        <w:rPr>
          <w:rFonts w:eastAsia="Times New Roman"/>
        </w:rPr>
        <w:t>, vol. 111, pp. 310–320, 2017, doi: https://doi.org/10.1016/j.ijthermalsci.2016.08.022.</w:t>
      </w:r>
    </w:p>
    <w:p>
      <w:pPr>
        <w:pStyle w:val="Normal"/>
        <w:ind w:hanging="640"/>
        <w:rPr>
          <w:rFonts w:eastAsia="Times New Roman"/>
        </w:rPr>
      </w:pPr>
      <w:r>
        <w:rPr>
          <w:rFonts w:eastAsia="Times New Roman"/>
        </w:rPr>
        <w:t>[12]</w:t>
        <w:tab/>
        <w:t xml:space="preserve">K. Chtaibi, A. Amahmid, Y. Dahani, M. Hasnaoui, and H. Ben Hamed, “Natural Convection in a Diamond-Shaped Receiving Cavity Heated from the Bottom Corner and Filled with Fe3O4-H2O Nanofluid in the Presence of Thermal Radiation,” </w:t>
      </w:r>
      <w:r>
        <w:rPr>
          <w:rFonts w:eastAsia="Times New Roman"/>
          <w:i/>
          <w:iCs/>
        </w:rPr>
        <w:t>Heat Transf Res</w:t>
      </w:r>
      <w:r>
        <w:rPr>
          <w:rFonts w:eastAsia="Times New Roman"/>
        </w:rPr>
        <w:t>.</w:t>
      </w:r>
    </w:p>
    <w:p>
      <w:pPr>
        <w:pStyle w:val="Normal"/>
        <w:ind w:hanging="640"/>
        <w:rPr>
          <w:rFonts w:eastAsia="Times New Roman"/>
        </w:rPr>
      </w:pPr>
      <w:r>
        <w:rPr>
          <w:rFonts w:eastAsia="Times New Roman"/>
        </w:rPr>
        <w:t>[13]</w:t>
        <w:tab/>
        <w:t xml:space="preserve">M. Benzema, Y. K. Benkahla, A. Boudiaf, S. E. Ouyahia, and M. El Ganaoui, “Magnetic field impact on nanofluid convective flow in a vented trapezoidal cavity using buongiorno’s mathematical model,” </w:t>
      </w:r>
      <w:r>
        <w:rPr>
          <w:rFonts w:eastAsia="Times New Roman"/>
          <w:i/>
          <w:iCs/>
        </w:rPr>
        <w:t>EPJ Applied Physics</w:t>
      </w:r>
      <w:r>
        <w:rPr>
          <w:rFonts w:eastAsia="Times New Roman"/>
        </w:rPr>
        <w:t>, vol. 88, no. 1, 2019, doi: 10.1051/epjap/2019190239.</w:t>
      </w:r>
    </w:p>
    <w:p>
      <w:pPr>
        <w:pStyle w:val="Normal"/>
        <w:ind w:hanging="640"/>
        <w:rPr>
          <w:rFonts w:eastAsia="Times New Roman"/>
        </w:rPr>
      </w:pPr>
      <w:r>
        <w:rPr>
          <w:rFonts w:eastAsia="Times New Roman"/>
        </w:rPr>
        <w:t>[14]</w:t>
        <w:tab/>
        <w:t>H. A. Houda Jalali, “Analysis of the Influence of Viscosity and Thermal Conductivity on Heat Transfer By Al</w:t>
      </w:r>
      <w:r>
        <w:rPr>
          <w:rFonts w:eastAsia="Times New Roman"/>
          <w:vertAlign w:val="subscript"/>
        </w:rPr>
        <w:t>2</w:t>
      </w:r>
      <w:r>
        <w:rPr>
          <w:rFonts w:eastAsia="Times New Roman"/>
        </w:rPr>
        <w:t>O</w:t>
      </w:r>
      <w:r>
        <w:rPr>
          <w:rFonts w:eastAsia="Times New Roman"/>
          <w:vertAlign w:val="subscript"/>
        </w:rPr>
        <w:t>3</w:t>
      </w:r>
      <w:r>
        <w:rPr>
          <w:rFonts w:eastAsia="Times New Roman"/>
        </w:rPr>
        <w:t xml:space="preserve">-Water Nanofluid,” </w:t>
      </w:r>
      <w:r>
        <w:rPr>
          <w:rFonts w:eastAsia="Times New Roman"/>
          <w:i/>
          <w:iCs/>
        </w:rPr>
        <w:t>Fluid Dynamics &amp; Materials Processing</w:t>
      </w:r>
      <w:r>
        <w:rPr>
          <w:rFonts w:eastAsia="Times New Roman"/>
        </w:rPr>
        <w:t>, vol. 15, no. 3, pp. 253–270, 2019, doi: 10.32604/fdmp.2019.03896.</w:t>
      </w:r>
    </w:p>
    <w:p>
      <w:pPr>
        <w:pStyle w:val="Normal"/>
        <w:ind w:hanging="640"/>
        <w:rPr>
          <w:rFonts w:eastAsia="Times New Roman"/>
        </w:rPr>
      </w:pPr>
      <w:r>
        <w:rPr>
          <w:rFonts w:eastAsia="Times New Roman"/>
        </w:rPr>
        <w:t>[15]</w:t>
        <w:tab/>
        <w:t xml:space="preserve">Y. Ma, R. Mohebbi, M. M. Rashidi, and Z. Yang, “Simulation of nanofluid natural convection in a U-shaped cavity equipped by a heating obstacle: Effect of cavity’s aspect ratio,” </w:t>
      </w:r>
      <w:r>
        <w:rPr>
          <w:rFonts w:eastAsia="Times New Roman"/>
          <w:i/>
          <w:iCs/>
        </w:rPr>
        <w:t>J Taiwan Inst Chem Eng</w:t>
      </w:r>
      <w:r>
        <w:rPr>
          <w:rFonts w:eastAsia="Times New Roman"/>
        </w:rPr>
        <w:t>, vol. 93, pp. 263–276, 2018, doi: https://doi.org/10.1016/j.jtice.2018.07.026.</w:t>
      </w:r>
    </w:p>
    <w:p>
      <w:pPr>
        <w:pStyle w:val="Normal"/>
        <w:ind w:hanging="640"/>
        <w:rPr>
          <w:rFonts w:eastAsia="Times New Roman"/>
        </w:rPr>
      </w:pPr>
      <w:r>
        <w:rPr>
          <w:rFonts w:eastAsia="Times New Roman"/>
        </w:rPr>
        <w:t>[16]</w:t>
        <w:tab/>
        <w:t xml:space="preserve">M. Aleem, M. I. Asjad, A. Shaheen, and I. Khan, “MHD Influence on different water based nanofluids (TiO2, Al2O3, CuO) in porous medium with chemical reaction and newtonian heating,” </w:t>
      </w:r>
      <w:r>
        <w:rPr>
          <w:rFonts w:eastAsia="Times New Roman"/>
          <w:i/>
          <w:iCs/>
        </w:rPr>
        <w:t>Chaos Solitons Fractals</w:t>
      </w:r>
      <w:r>
        <w:rPr>
          <w:rFonts w:eastAsia="Times New Roman"/>
        </w:rPr>
        <w:t>, vol. 130, p. 109437, 2020, doi: https://doi.org/10.1016/j.chaos.2019.109437.</w:t>
      </w:r>
    </w:p>
    <w:p>
      <w:pPr>
        <w:pStyle w:val="Normal"/>
        <w:ind w:hanging="640"/>
        <w:rPr>
          <w:rFonts w:eastAsia="Times New Roman"/>
        </w:rPr>
      </w:pPr>
      <w:r>
        <w:rPr>
          <w:rFonts w:eastAsia="Times New Roman"/>
        </w:rPr>
        <w:t>[17]</w:t>
        <w:tab/>
        <w:t xml:space="preserve">N. Faraz, M. Shemyal Nisar, Y. Khan, A. Hussain, and K. Iqbal, “Natural convection of Cu-H2O nanofluid inside hexagonal enclosure fitted with a square cavity with a non-uniformly heated wall(s),” </w:t>
      </w:r>
      <w:r>
        <w:rPr>
          <w:rFonts w:eastAsia="Times New Roman"/>
          <w:i/>
          <w:iCs/>
        </w:rPr>
        <w:t>Results Phys</w:t>
      </w:r>
      <w:r>
        <w:rPr>
          <w:rFonts w:eastAsia="Times New Roman"/>
        </w:rPr>
        <w:t>, vol. 51, p. 106648, Aug. 2023, doi: 10.1016/J.RINP.2023.106648.</w:t>
      </w:r>
    </w:p>
    <w:p>
      <w:pPr>
        <w:pStyle w:val="Normal"/>
        <w:ind w:hanging="640"/>
        <w:rPr>
          <w:rFonts w:eastAsia="Times New Roman"/>
        </w:rPr>
      </w:pPr>
      <w:r>
        <w:rPr>
          <w:rFonts w:eastAsia="Times New Roman"/>
        </w:rPr>
        <w:t>[18]</w:t>
        <w:tab/>
        <w:t xml:space="preserve">O. Turan, A. Sachdeva, N. Chakraborty, and R. J. Poole, “Laminar natural convection of power-law fluids in a square enclosure with differentially heated side walls subjected to constant temperatures,” </w:t>
      </w:r>
      <w:r>
        <w:rPr>
          <w:rFonts w:eastAsia="Times New Roman"/>
          <w:i/>
          <w:iCs/>
        </w:rPr>
        <w:t>J Nonnewton Fluid Mech</w:t>
      </w:r>
      <w:r>
        <w:rPr>
          <w:rFonts w:eastAsia="Times New Roman"/>
        </w:rPr>
        <w:t>, vol. 166, no. 17–18, pp. 1049–1063, Sep. 2011, doi: 10.1016/j.jnnfm.2011.06.003.</w:t>
      </w:r>
    </w:p>
    <w:p>
      <w:pPr>
        <w:pStyle w:val="Normal"/>
        <w:ind w:hanging="640"/>
        <w:rPr>
          <w:rFonts w:eastAsia="Times New Roman"/>
        </w:rPr>
      </w:pPr>
      <w:r>
        <w:rPr>
          <w:rFonts w:eastAsia="Times New Roman"/>
        </w:rPr>
        <w:t>[19]</w:t>
        <w:tab/>
        <w:t xml:space="preserve">S. Acharya and S. K. Dash, “Natural convection in a cavity with undulated walls filled with water-based non-Newtonian power-law CuO–water nanofluid under the influence of the external magnetic field,” </w:t>
      </w:r>
      <w:r>
        <w:rPr>
          <w:rFonts w:eastAsia="Times New Roman"/>
          <w:i/>
          <w:iCs/>
        </w:rPr>
        <w:t>Numeri Heat Transf A Appl</w:t>
      </w:r>
      <w:r>
        <w:rPr>
          <w:rFonts w:eastAsia="Times New Roman"/>
        </w:rPr>
        <w:t>, vol. 76, no. 7, pp. 552–575, 2019, doi: 10.1080/10407782.2019.1644898.</w:t>
      </w:r>
    </w:p>
    <w:p>
      <w:pPr>
        <w:pStyle w:val="Normal"/>
        <w:ind w:hanging="640"/>
        <w:rPr>
          <w:rFonts w:eastAsia="Times New Roman"/>
        </w:rPr>
      </w:pPr>
      <w:r>
        <w:rPr>
          <w:rFonts w:eastAsia="Times New Roman"/>
        </w:rPr>
        <w:t>[20]</w:t>
        <w:tab/>
        <w:t xml:space="preserve">F. H. Ali, H. K. Hamzah, K. Egab, M. Arıcı, and A. Shahsavar, “Non-Newtonian nanofluid natural convection in a U-shaped cavity under magnetic field,” </w:t>
      </w:r>
      <w:r>
        <w:rPr>
          <w:rFonts w:eastAsia="Times New Roman"/>
          <w:i/>
          <w:iCs/>
        </w:rPr>
        <w:t>Int J Mech Sci</w:t>
      </w:r>
      <w:r>
        <w:rPr>
          <w:rFonts w:eastAsia="Times New Roman"/>
        </w:rPr>
        <w:t>, vol. 186, Nov. 2020, doi: 10.1016/j.ijmecsci.2020.105887.</w:t>
      </w:r>
    </w:p>
    <w:p>
      <w:pPr>
        <w:pStyle w:val="Normal"/>
        <w:ind w:hanging="640"/>
        <w:rPr>
          <w:rFonts w:eastAsia="Times New Roman"/>
        </w:rPr>
      </w:pPr>
      <w:r>
        <w:rPr>
          <w:rFonts w:eastAsia="Times New Roman"/>
        </w:rPr>
        <w:t>[21]</w:t>
        <w:tab/>
        <w:t xml:space="preserve">S. Parvin, N. C. Roy, and L. K. Saha, “Natural convective non-Newtonian nanofluid flow in a wavy-shaped enclosure with a heated elliptic obstacle,” </w:t>
      </w:r>
      <w:r>
        <w:rPr>
          <w:rFonts w:eastAsia="Times New Roman"/>
          <w:i/>
          <w:iCs/>
        </w:rPr>
        <w:t>Heliyon</w:t>
      </w:r>
      <w:r>
        <w:rPr>
          <w:rFonts w:eastAsia="Times New Roman"/>
        </w:rPr>
        <w:t>, vol. 9, no. 6, Jun. 2023, doi: 10.1016/j.heliyon.2023.e16579.</w:t>
      </w:r>
    </w:p>
    <w:p>
      <w:pPr>
        <w:pStyle w:val="Normal"/>
        <w:ind w:hanging="640"/>
        <w:rPr>
          <w:rFonts w:eastAsia="Times New Roman"/>
        </w:rPr>
      </w:pPr>
      <w:r>
        <w:rPr>
          <w:rFonts w:eastAsia="Times New Roman"/>
        </w:rPr>
        <w:t>[22]</w:t>
        <w:tab/>
        <w:t xml:space="preserve">S. Jain and R. Bhargava, “Natural convection flow on a bent wavy vertical enclosure filled with power-law nanofluid simulated by Element Free Galerkin method,” </w:t>
      </w:r>
      <w:r>
        <w:rPr>
          <w:rFonts w:eastAsia="Times New Roman"/>
          <w:i/>
          <w:iCs/>
        </w:rPr>
        <w:t>Math Comput Simul</w:t>
      </w:r>
      <w:r>
        <w:rPr>
          <w:rFonts w:eastAsia="Times New Roman"/>
        </w:rPr>
        <w:t>, vol. 205, pp. 970–986, 2023, doi: https://doi.org/10.1016/j.matcom.2022.10.033.</w:t>
      </w:r>
    </w:p>
    <w:p>
      <w:pPr>
        <w:pStyle w:val="Normal"/>
        <w:ind w:hanging="640"/>
        <w:rPr>
          <w:rFonts w:eastAsia="Times New Roman"/>
        </w:rPr>
      </w:pPr>
      <w:r>
        <w:rPr>
          <w:rFonts w:eastAsia="Times New Roman"/>
        </w:rPr>
        <w:t>[23]</w:t>
        <w:tab/>
        <w:t xml:space="preserve">A. Elatar, M. A. Teamah, and M. A. Hassab, “Numerical study of laminar natural convection inside square enclosure with single horizontal fin,” </w:t>
      </w:r>
      <w:r>
        <w:rPr>
          <w:rFonts w:eastAsia="Times New Roman"/>
          <w:i/>
          <w:iCs/>
        </w:rPr>
        <w:t>International Journal of Thermal Sciences</w:t>
      </w:r>
      <w:r>
        <w:rPr>
          <w:rFonts w:eastAsia="Times New Roman"/>
        </w:rPr>
        <w:t>, vol. 99, pp. 41–51, 2016, doi: https://doi.org/10.1016/j.ijthermalsci.2015.08.003.</w:t>
      </w:r>
    </w:p>
    <w:p>
      <w:pPr>
        <w:pStyle w:val="Normal"/>
        <w:ind w:hanging="640"/>
        <w:rPr>
          <w:rFonts w:eastAsia="Times New Roman"/>
        </w:rPr>
      </w:pPr>
      <w:r>
        <w:rPr>
          <w:rFonts w:eastAsia="Times New Roman"/>
        </w:rPr>
        <w:t>[24]</w:t>
        <w:tab/>
        <w:t xml:space="preserve">S. Saravanan and C. Sivaraj, “Coupled thermal radiation and natural convection heat transfer in a cavity with a heated plate inside,” </w:t>
      </w:r>
      <w:r>
        <w:rPr>
          <w:rFonts w:eastAsia="Times New Roman"/>
          <w:i/>
          <w:iCs/>
        </w:rPr>
        <w:t>Int J Heat Fluid Flow</w:t>
      </w:r>
      <w:r>
        <w:rPr>
          <w:rFonts w:eastAsia="Times New Roman"/>
        </w:rPr>
        <w:t>, vol. 40, pp. 54–64, Apr. 2013, doi: 10.1016/j.ijheatfluidflow.2013.01.007.</w:t>
      </w:r>
    </w:p>
    <w:p>
      <w:pPr>
        <w:pStyle w:val="Normal"/>
        <w:ind w:hanging="640"/>
        <w:rPr>
          <w:rFonts w:eastAsia="Times New Roman"/>
        </w:rPr>
      </w:pPr>
      <w:r>
        <w:rPr>
          <w:rFonts w:eastAsia="Times New Roman"/>
        </w:rPr>
        <w:t>[25]</w:t>
        <w:tab/>
        <w:t xml:space="preserve">T. Mahalakshmi, N. Nithyadevi, Hakan. F. Oztop, and N. Abu-Hamdeh, “Natural convective heat transfer of Ag-water nanofluid flow inside enclosure with center heater and bottom heat source,” </w:t>
      </w:r>
      <w:r>
        <w:rPr>
          <w:rFonts w:eastAsia="Times New Roman"/>
          <w:i/>
          <w:iCs/>
        </w:rPr>
        <w:t>Chinese Journal of Physics</w:t>
      </w:r>
      <w:r>
        <w:rPr>
          <w:rFonts w:eastAsia="Times New Roman"/>
        </w:rPr>
        <w:t>, vol. 56, no. 4, pp. 1497–1507, 2018, doi: https://doi.org/10.1016/j.cjph.2018.06.006.</w:t>
      </w:r>
    </w:p>
    <w:p>
      <w:pPr>
        <w:pStyle w:val="Normal"/>
        <w:ind w:hanging="640"/>
        <w:rPr>
          <w:rFonts w:eastAsia="Times New Roman"/>
        </w:rPr>
      </w:pPr>
      <w:r>
        <w:rPr>
          <w:rFonts w:eastAsia="Times New Roman"/>
        </w:rPr>
        <w:t>[26]</w:t>
        <w:tab/>
        <w:t xml:space="preserve">T. Islam, Md. N. Alam, M. I. Asjad, N. Parveen, and Y.-M. Chu, “Heatline visualization of MHD natural convection heat transfer of nanofluid in a prismatic enclosure,” </w:t>
      </w:r>
      <w:r>
        <w:rPr>
          <w:rFonts w:eastAsia="Times New Roman"/>
          <w:i/>
          <w:iCs/>
        </w:rPr>
        <w:t>Sci Rep</w:t>
      </w:r>
      <w:r>
        <w:rPr>
          <w:rFonts w:eastAsia="Times New Roman"/>
        </w:rPr>
        <w:t>, vol. 11, no. 1, p. 10972, 2021, doi: 10.1038/s41598-021-89814-z.</w:t>
      </w:r>
    </w:p>
    <w:p>
      <w:pPr>
        <w:pStyle w:val="Normal"/>
        <w:ind w:hanging="640"/>
        <w:rPr>
          <w:rFonts w:eastAsia="Times New Roman"/>
        </w:rPr>
      </w:pPr>
      <w:r>
        <w:rPr>
          <w:rFonts w:eastAsia="Times New Roman"/>
        </w:rPr>
        <w:t>[27]</w:t>
        <w:tab/>
        <w:t xml:space="preserve">S. A. Khan </w:t>
      </w:r>
      <w:r>
        <w:rPr>
          <w:rFonts w:eastAsia="Times New Roman"/>
          <w:i/>
          <w:iCs/>
        </w:rPr>
        <w:t>et al.</w:t>
      </w:r>
      <w:r>
        <w:rPr>
          <w:rFonts w:eastAsia="Times New Roman"/>
        </w:rPr>
        <w:t xml:space="preserve">, “Computational analysis of natural convection with water based nanofluid in a square cavity with partially active side walls: Applications to thermal storage,” </w:t>
      </w:r>
      <w:r>
        <w:rPr>
          <w:rFonts w:eastAsia="Times New Roman"/>
          <w:i/>
          <w:iCs/>
        </w:rPr>
        <w:t>J Mol Liq</w:t>
      </w:r>
      <w:r>
        <w:rPr>
          <w:rFonts w:eastAsia="Times New Roman"/>
        </w:rPr>
        <w:t>, vol. 382, p. 122003, 2023, doi: https://doi.org/10.1016/j.molliq.2023.122003.</w:t>
      </w:r>
    </w:p>
    <w:p>
      <w:pPr>
        <w:pStyle w:val="Normal"/>
        <w:ind w:hanging="640"/>
        <w:rPr>
          <w:rFonts w:eastAsia="Times New Roman"/>
        </w:rPr>
      </w:pPr>
      <w:r>
        <w:rPr>
          <w:rFonts w:eastAsia="Times New Roman"/>
        </w:rPr>
        <w:t>[28]</w:t>
        <w:tab/>
        <w:t xml:space="preserve">T. Saha, T. Islam, S. Yeasmin, and N. Parveen, “Thermal influence of heated fin on MHD natural convection flow of nanofluids inside a wavy square cavity,” </w:t>
      </w:r>
      <w:r>
        <w:rPr>
          <w:rFonts w:eastAsia="Times New Roman"/>
          <w:i/>
          <w:iCs/>
        </w:rPr>
        <w:t>International Journal of Thermofluids</w:t>
      </w:r>
      <w:r>
        <w:rPr>
          <w:rFonts w:eastAsia="Times New Roman"/>
        </w:rPr>
        <w:t>, vol. 18, p. 100338, 2023, doi: https://doi.org/10.1016/j.ijft.2023.100338.</w:t>
      </w:r>
    </w:p>
    <w:p>
      <w:pPr>
        <w:pStyle w:val="Normal"/>
        <w:ind w:hanging="640"/>
        <w:rPr>
          <w:rFonts w:eastAsia="Times New Roman"/>
        </w:rPr>
      </w:pPr>
      <w:r>
        <w:rPr>
          <w:rFonts w:eastAsia="Times New Roman"/>
        </w:rPr>
        <w:t>[29]</w:t>
        <w:tab/>
        <w:t xml:space="preserve">R. K. Tiwari and M. K. Das, “Heat transfer augmentation in a two-sided lid-driven differentially heated square cavity utilizing nanofluids,” </w:t>
      </w:r>
      <w:r>
        <w:rPr>
          <w:rFonts w:eastAsia="Times New Roman"/>
          <w:i/>
          <w:iCs/>
        </w:rPr>
        <w:t>Int J Heat Mass Transf</w:t>
      </w:r>
      <w:r>
        <w:rPr>
          <w:rFonts w:eastAsia="Times New Roman"/>
        </w:rPr>
        <w:t>, vol. 50, no. 9, pp. 2002–2018, 2007, doi: https://doi.org/10.1016/j.ijheatmasstransfer.2006.09.034.</w:t>
      </w:r>
    </w:p>
    <w:p>
      <w:pPr>
        <w:pStyle w:val="Normal"/>
        <w:ind w:hanging="640"/>
        <w:rPr>
          <w:rFonts w:eastAsia="Times New Roman"/>
        </w:rPr>
      </w:pPr>
      <w:r>
        <w:rPr>
          <w:rFonts w:eastAsia="Times New Roman"/>
        </w:rPr>
        <w:t>[30]</w:t>
        <w:tab/>
        <w:t xml:space="preserve">M. Aghamajidi, M. Yazdi, S. Dinarvand, and I. Pop, “Tiwari-Das nanofluid model for magnetohydrodynamics (MHD) natural-convective flow of a nanofluid adjacent to a spinning down-pointing vertical cone,” </w:t>
      </w:r>
      <w:r>
        <w:rPr>
          <w:rFonts w:eastAsia="Times New Roman"/>
          <w:i/>
          <w:iCs/>
        </w:rPr>
        <w:t>Propulsion and Power Research</w:t>
      </w:r>
      <w:r>
        <w:rPr>
          <w:rFonts w:eastAsia="Times New Roman"/>
        </w:rPr>
        <w:t>, vol. 7, no. 1, pp. 78–90, 2018, doi: https://doi.org/10.1016/j.jppr.2018.02.002.</w:t>
      </w:r>
    </w:p>
    <w:p>
      <w:pPr>
        <w:pStyle w:val="Normal"/>
        <w:ind w:hanging="640"/>
        <w:rPr>
          <w:rFonts w:eastAsia="Times New Roman"/>
        </w:rPr>
      </w:pPr>
      <w:r>
        <w:rPr>
          <w:rFonts w:eastAsia="Times New Roman"/>
        </w:rPr>
        <w:t>[31]</w:t>
        <w:tab/>
        <w:t xml:space="preserve">A. I. Alsabery, A. J. Chamkha, H. Saleh, and I. Hashim, “Transient natural convective heat transfer in a trapezoidal cavity filled with non-Newtonian nanofluid with sinusoidal boundary conditions on both sidewalls,” </w:t>
      </w:r>
      <w:r>
        <w:rPr>
          <w:rFonts w:eastAsia="Times New Roman"/>
          <w:i/>
          <w:iCs/>
        </w:rPr>
        <w:t>Powder Technol</w:t>
      </w:r>
      <w:r>
        <w:rPr>
          <w:rFonts w:eastAsia="Times New Roman"/>
        </w:rPr>
        <w:t>, vol. 308, pp. 214–234, Feb. 2017, doi: 10.1016/j.powtec.2016.12.025.</w:t>
      </w:r>
    </w:p>
    <w:p>
      <w:pPr>
        <w:pStyle w:val="Normal"/>
        <w:ind w:hanging="640"/>
        <w:rPr>
          <w:rFonts w:eastAsia="Times New Roman"/>
        </w:rPr>
      </w:pPr>
      <w:r>
        <w:rPr>
          <w:rFonts w:eastAsia="Times New Roman"/>
        </w:rPr>
        <w:t>[32]</w:t>
        <w:tab/>
        <w:t xml:space="preserve">A. Kumar and M. K. Sinha, “Buoyancy driven flow through a square enclosure,” </w:t>
      </w:r>
      <w:r>
        <w:rPr>
          <w:rFonts w:eastAsia="Times New Roman"/>
          <w:i/>
          <w:iCs/>
        </w:rPr>
        <w:t>Mater Today Proc</w:t>
      </w:r>
      <w:r>
        <w:rPr>
          <w:rFonts w:eastAsia="Times New Roman"/>
        </w:rPr>
        <w:t>, vol. 56, pp. 2780–2784, 2022, doi: https://doi.org/10.1016/j.matpr.2021.10.091.</w:t>
      </w:r>
    </w:p>
    <w:p>
      <w:pPr>
        <w:pStyle w:val="Normal"/>
        <w:ind w:hanging="640"/>
        <w:rPr>
          <w:rFonts w:eastAsia="Times New Roman"/>
        </w:rPr>
      </w:pPr>
      <w:r>
        <w:rPr>
          <w:rFonts w:eastAsia="Times New Roman"/>
        </w:rPr>
        <w:t>[33]</w:t>
        <w:tab/>
        <w:t xml:space="preserve">M. F. Almensoury, A. S. Hashim, H. K. Hamzah, and F. H. Ali, “Numerical investigation of natural convection of a non-Newtonian nanofluid in an F-shaped porous cavity,” </w:t>
      </w:r>
      <w:r>
        <w:rPr>
          <w:rFonts w:eastAsia="Times New Roman"/>
          <w:i/>
          <w:iCs/>
        </w:rPr>
        <w:t>Heat Transfer</w:t>
      </w:r>
      <w:r>
        <w:rPr>
          <w:rFonts w:eastAsia="Times New Roman"/>
        </w:rPr>
        <w:t>, vol. 50, no. 3, pp. 2403–2426, 2021, doi: https://doi.org/10.1002/htj.21984.</w:t>
      </w:r>
    </w:p>
    <w:p>
      <w:pPr>
        <w:pStyle w:val="Normal"/>
        <w:ind w:hanging="640"/>
        <w:rPr>
          <w:rFonts w:eastAsia="Times New Roman"/>
        </w:rPr>
      </w:pPr>
      <w:r>
        <w:rPr>
          <w:rFonts w:eastAsia="Times New Roman"/>
        </w:rPr>
        <w:t>[34]</w:t>
        <w:tab/>
        <w:t xml:space="preserve">Y. Xuan and W. Roetzel, “Conceptions for heat transfer correlation of nanofluids,” </w:t>
      </w:r>
      <w:r>
        <w:rPr>
          <w:rFonts w:eastAsia="Times New Roman"/>
          <w:i/>
          <w:iCs/>
        </w:rPr>
        <w:t>Int J Heat Mass Transf</w:t>
      </w:r>
      <w:r>
        <w:rPr>
          <w:rFonts w:eastAsia="Times New Roman"/>
        </w:rPr>
        <w:t>, vol. 43, no. 19, pp. 3701–3707, 2000, doi: https://doi.org/10.1016/S0017-9310(99)00369-5.</w:t>
      </w:r>
    </w:p>
    <w:p>
      <w:pPr>
        <w:pStyle w:val="Normal"/>
        <w:ind w:hanging="640"/>
        <w:rPr>
          <w:rFonts w:eastAsia="Times New Roman"/>
        </w:rPr>
      </w:pPr>
      <w:r>
        <w:rPr>
          <w:rFonts w:eastAsia="Times New Roman"/>
        </w:rPr>
        <w:t>[35]</w:t>
        <w:tab/>
        <w:t xml:space="preserve">S. Dinarvand, M. Behrouz, S. Ahmadi, P. Ghasemi, S. Noeiaghdam, and U. Fernandez-Gamiz, “Mixed convection of thermomicropolar AgNPs-GrNPs nanofluid: An application of mass-based hybrid nanofluid model,” </w:t>
      </w:r>
      <w:r>
        <w:rPr>
          <w:rFonts w:eastAsia="Times New Roman"/>
          <w:i/>
          <w:iCs/>
        </w:rPr>
        <w:t>Case Studies in Thermal Engineering</w:t>
      </w:r>
      <w:r>
        <w:rPr>
          <w:rFonts w:eastAsia="Times New Roman"/>
        </w:rPr>
        <w:t>, vol. 49, p. 103224, 2023, doi: https://doi.org/10.1016/j.csite.2023.103224.</w:t>
      </w:r>
    </w:p>
    <w:p>
      <w:pPr>
        <w:pStyle w:val="Normal"/>
        <w:ind w:hanging="640"/>
        <w:rPr>
          <w:rFonts w:eastAsia="Times New Roman"/>
        </w:rPr>
      </w:pPr>
      <w:r>
        <w:rPr>
          <w:rFonts w:eastAsia="Times New Roman"/>
        </w:rPr>
        <w:t>[36]</w:t>
        <w:tab/>
        <w:t xml:space="preserve">R. L. Hamilton and O. K. Crosser, “Thermal Conductivity of Heterogeneous Two-Component Systems,” </w:t>
      </w:r>
      <w:r>
        <w:rPr>
          <w:rFonts w:eastAsia="Times New Roman"/>
          <w:i/>
          <w:iCs/>
        </w:rPr>
        <w:t>Industrial &amp; Engineering Chemistry Fundamentals</w:t>
      </w:r>
      <w:r>
        <w:rPr>
          <w:rFonts w:eastAsia="Times New Roman"/>
        </w:rPr>
        <w:t>, vol. 1, no. 3, pp. 187–191, 1962, doi: 10.1021/i160003a005.</w:t>
      </w:r>
    </w:p>
    <w:p>
      <w:pPr>
        <w:pStyle w:val="Normal"/>
        <w:ind w:hanging="640"/>
        <w:rPr>
          <w:rFonts w:eastAsia="Times New Roman"/>
        </w:rPr>
      </w:pPr>
      <w:r>
        <w:rPr>
          <w:rFonts w:eastAsia="Times New Roman"/>
        </w:rPr>
        <w:t>[37]</w:t>
        <w:tab/>
        <w:t xml:space="preserve">C. J. Ho, M. W. Chen, and Z. W. Li, “Numerical simulation of natural convection of nanofluid in a square enclosure: Effects due to uncertainties of viscosity and thermal conductivity,” </w:t>
      </w:r>
      <w:r>
        <w:rPr>
          <w:rFonts w:eastAsia="Times New Roman"/>
          <w:i/>
          <w:iCs/>
        </w:rPr>
        <w:t>Int J Heat Mass Transf</w:t>
      </w:r>
      <w:r>
        <w:rPr>
          <w:rFonts w:eastAsia="Times New Roman"/>
        </w:rPr>
        <w:t>, vol. 51, no. 17–18, pp. 4506–4516, Aug. 2008, doi: 10.1016/j.ijheatmasstransfer.2007.12.019.</w:t>
      </w:r>
    </w:p>
    <w:p>
      <w:pPr>
        <w:pStyle w:val="Normal"/>
        <w:ind w:hanging="640"/>
        <w:rPr>
          <w:rFonts w:eastAsia="Times New Roman"/>
        </w:rPr>
      </w:pPr>
      <w:r>
        <w:rPr>
          <w:rFonts w:eastAsia="Times New Roman"/>
        </w:rPr>
        <w:t>[38]</w:t>
        <w:tab/>
        <w:t xml:space="preserve">B. Ghasemi, S. M. Aminossadati, and A. Raisi, “Magnetic field effect on natural convection in a nanofluid-filled square enclosure,” </w:t>
      </w:r>
      <w:r>
        <w:rPr>
          <w:rFonts w:eastAsia="Times New Roman"/>
          <w:i/>
          <w:iCs/>
        </w:rPr>
        <w:t>International Journal of Thermal Sciences</w:t>
      </w:r>
      <w:r>
        <w:rPr>
          <w:rFonts w:eastAsia="Times New Roman"/>
        </w:rPr>
        <w:t>, vol. 50, no. 9, pp. 1748–1756, Sep. 2011, doi: 10.1016/j.ijthermalsci.2011.04.010.</w:t>
      </w:r>
    </w:p>
    <w:p>
      <w:pPr>
        <w:pStyle w:val="Normal"/>
        <w:ind w:hanging="640"/>
        <w:rPr>
          <w:rFonts w:eastAsia="Times New Roman"/>
        </w:rPr>
      </w:pPr>
      <w:r>
        <w:rPr>
          <w:rFonts w:eastAsia="Times New Roman"/>
        </w:rPr>
        <w:t>[39]</w:t>
        <w:tab/>
        <w:t xml:space="preserve">H. C. Brinkman, “The Viscosity of Concentrated Suspensions and Solutions,” </w:t>
      </w:r>
      <w:r>
        <w:rPr>
          <w:rFonts w:eastAsia="Times New Roman"/>
          <w:i/>
          <w:iCs/>
        </w:rPr>
        <w:t>J Chem Phys</w:t>
      </w:r>
      <w:r>
        <w:rPr>
          <w:rFonts w:eastAsia="Times New Roman"/>
        </w:rPr>
        <w:t>, vol. 20, no. 4, p. 571, Dec. 2004, doi: 10.1063/1.1700493.</w:t>
      </w:r>
    </w:p>
    <w:p>
      <w:pPr>
        <w:pStyle w:val="Normal"/>
        <w:ind w:hanging="640"/>
        <w:rPr>
          <w:rFonts w:eastAsia="Times New Roman"/>
        </w:rPr>
      </w:pPr>
      <w:r>
        <w:rPr>
          <w:rFonts w:eastAsia="Times New Roman"/>
        </w:rPr>
        <w:t>[40]</w:t>
        <w:tab/>
        <w:t xml:space="preserve">S. Dutta, N. Goswami, A. K. Biswas, and S. Pati, “Numerical investigation of magnetohydrodynamic natural convection heat transfer and entropy generation in a rhombic enclosure filled with Cu-water nanofluid,” </w:t>
      </w:r>
      <w:r>
        <w:rPr>
          <w:rFonts w:eastAsia="Times New Roman"/>
          <w:i/>
          <w:iCs/>
        </w:rPr>
        <w:t>Int J Heat Mass Transf</w:t>
      </w:r>
      <w:r>
        <w:rPr>
          <w:rFonts w:eastAsia="Times New Roman"/>
        </w:rPr>
        <w:t>, vol. 136, pp. 777–798, 2019, doi: https://doi.org/10.1016/j.ijheatmasstransfer.2019.03.024.</w:t>
      </w:r>
    </w:p>
    <w:p>
      <w:pPr>
        <w:pStyle w:val="TextBody"/>
        <w:rPr>
          <w:rFonts w:eastAsia="宋体"/>
          <w:color w:val="auto"/>
          <w:lang w:eastAsia="zh-CN"/>
        </w:rPr>
      </w:pPr>
      <w:r>
        <w:rPr>
          <w:rFonts w:eastAsia="Times New Roman"/>
        </w:rPr>
        <w:t> </w:t>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spacing w:before="312" w:after="156"/>
        <w:jc w:val="both"/>
        <w:rPr>
          <w:rFonts w:eastAsia="宋体"/>
          <w:b w:val="false"/>
          <w:b w:val="false"/>
          <w:bCs w:val="false"/>
          <w:lang w:eastAsia="zh-CN"/>
        </w:rPr>
      </w:pPr>
      <w:r>
        <w:rPr/>
      </w:r>
    </w:p>
    <w:sectPr>
      <w:headerReference w:type="even" r:id="rId41"/>
      <w:headerReference w:type="default" r:id="rId42"/>
      <w:headerReference w:type="first" r:id="rId43"/>
      <w:footerReference w:type="first" r:id="rId44"/>
      <w:type w:val="nextPage"/>
      <w:pgSz w:w="12240" w:h="15840"/>
      <w:pgMar w:left="1800" w:right="1800" w:header="567" w:top="1440" w:footer="0" w:bottom="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roman"/>
    <w:pitch w:val="variable"/>
  </w:font>
  <w:font w:name="Minion Pro">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4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spacing w:before="0" w:after="60"/>
      <w:rPr>
        <w:sz w:val="20"/>
      </w:rPr>
    </w:pPr>
    <w:r>
      <w:rPr>
        <w:sz w:val="20"/>
      </w:rPr>
      <w:fldChar w:fldCharType="begin"/>
    </w:r>
    <w:r>
      <w:rPr>
        <w:sz w:val="20"/>
      </w:rPr>
      <w:instrText> PAGE </w:instrText>
    </w:r>
    <w:r>
      <w:rPr>
        <w:sz w:val="20"/>
      </w:rPr>
      <w:fldChar w:fldCharType="separate"/>
    </w:r>
    <w:r>
      <w:rPr>
        <w:sz w:val="20"/>
      </w:rPr>
      <w:t>20</w:t>
    </w:r>
    <w:r>
      <w:rPr>
        <w:sz w:val="20"/>
      </w:rPr>
      <w:fldChar w:fldCharType="end"/>
    </w:r>
    <w:r>
      <w:rPr/>
      <w:t xml:space="preserve">                                                                    </w:t>
    </w:r>
    <w:r>
      <w:rPr>
        <w:sz w:val="20"/>
      </w:rPr>
      <w:t>FDMP,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202x                                                                          </w:t>
    </w:r>
    <w:r>
      <w:rPr>
        <w:sz w:val="20"/>
      </w:rPr>
      <w:fldChar w:fldCharType="begin"/>
    </w:r>
    <w:r>
      <w:rPr>
        <w:sz w:val="20"/>
      </w:rPr>
      <w:instrText> PAGE </w:instrText>
    </w:r>
    <w:r>
      <w:rPr>
        <w:sz w:val="20"/>
      </w:rPr>
      <w:fldChar w:fldCharType="separate"/>
    </w:r>
    <w:r>
      <w:rPr>
        <w:sz w:val="20"/>
      </w:rPr>
      <w:t>19</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bookmarkStart w:id="12" w:name="_Hlk165292499"/>
    <w:bookmarkStart w:id="13" w:name="_Hlk165292500"/>
    <w:bookmarkStart w:id="14" w:name="_Hlk165292718"/>
    <w:bookmarkStart w:id="15" w:name="_Hlk165292719"/>
    <w:r>
      <w:rPr/>
      <w:drawing>
        <wp:anchor behindDoc="1" distT="0" distB="0" distL="0" distR="0" simplePos="0" locked="0" layoutInCell="1" allowOverlap="1" relativeHeight="2">
          <wp:simplePos x="0" y="0"/>
          <wp:positionH relativeFrom="column">
            <wp:posOffset>4161790</wp:posOffset>
          </wp:positionH>
          <wp:positionV relativeFrom="paragraph">
            <wp:posOffset>123190</wp:posOffset>
          </wp:positionV>
          <wp:extent cx="1287780" cy="192405"/>
          <wp:effectExtent l="0" t="0" r="0" b="0"/>
          <wp:wrapNone/>
          <wp:docPr id="4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2054860" cy="511175"/>
          <wp:effectExtent l="0" t="0" r="0" b="0"/>
          <wp:docPr id="43" name="Image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文本&#10;&#10;描述已自动生成"/>
                  <pic:cNvPicPr>
                    <a:picLocks noChangeAspect="1" noChangeArrowheads="1"/>
                  </pic:cNvPicPr>
                </pic:nvPicPr>
                <pic:blipFill>
                  <a:blip r:embed="rId2"/>
                  <a:stretch>
                    <a:fillRect/>
                  </a:stretch>
                </pic:blipFill>
                <pic:spPr bwMode="auto">
                  <a:xfrm>
                    <a:off x="0" y="0"/>
                    <a:ext cx="2054860" cy="511175"/>
                  </a:xfrm>
                  <a:prstGeom prst="rect">
                    <a:avLst/>
                  </a:prstGeom>
                </pic:spPr>
              </pic:pic>
            </a:graphicData>
          </a:graphic>
        </wp:inline>
      </w:drawing>
    </w:r>
    <w:bookmarkEnd w:id="12"/>
    <w:bookmarkEnd w:id="13"/>
    <w:bookmarkEnd w:id="14"/>
    <w:bookmarkEnd w:id="15"/>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420"/>
  <w:compat>
    <w:doNotExpandShiftReturn/>
  </w:compat>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Arial"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5bc6"/>
    <w:pPr>
      <w:widowControl/>
      <w:suppressAutoHyphens w:val="true"/>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pPr>
      <w:keepNext w:val="true"/>
      <w:keepLines/>
      <w:spacing w:lineRule="auto" w:line="415" w:before="260" w:after="260"/>
      <w:outlineLvl w:val="1"/>
    </w:pPr>
    <w:rPr>
      <w:rFonts w:ascii="等线 Light" w:hAnsi="等线 Light" w:eastAsia="等线 Light" w:cs="Times New Roman"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Style12" w:customStyle="1">
    <w:name w:val="页眉 字符"/>
    <w:basedOn w:val="DefaultParagraphFont"/>
    <w:link w:val="a8"/>
    <w:uiPriority w:val="99"/>
    <w:qFormat/>
    <w:rPr>
      <w:sz w:val="18"/>
      <w:szCs w:val="18"/>
    </w:rPr>
  </w:style>
  <w:style w:type="character" w:styleId="Style13" w:customStyle="1">
    <w:name w:val="页脚 字符"/>
    <w:basedOn w:val="DefaultParagraphFont"/>
    <w:link w:val="a6"/>
    <w:uiPriority w:val="99"/>
    <w:qFormat/>
    <w:rPr>
      <w:sz w:val="18"/>
      <w:szCs w:val="18"/>
    </w:rPr>
  </w:style>
  <w:style w:type="character" w:styleId="2" w:customStyle="1">
    <w:name w:val="标题 2 字符"/>
    <w:basedOn w:val="DefaultParagraphFont"/>
    <w:link w:val="2"/>
    <w:uiPriority w:val="9"/>
    <w:semiHidden/>
    <w:qFormat/>
    <w:rPr>
      <w:rFonts w:ascii="等线 Light" w:hAnsi="等线 Light" w:eastAsia="等线 Light" w:cs="Times New Roman"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Pr>
      <w:rFonts w:ascii="Times New Roman" w:hAnsi="Times New Roman" w:eastAsia="宋体" w:cs="Times New Roman"/>
      <w:b/>
      <w:bCs/>
      <w:kern w:val="2"/>
      <w:sz w:val="44"/>
      <w:szCs w:val="44"/>
    </w:rPr>
  </w:style>
  <w:style w:type="character" w:styleId="Style14" w:customStyle="1">
    <w:name w:val="正文文本 字符"/>
    <w:basedOn w:val="DefaultParagraphFont"/>
    <w:link w:val="a4"/>
    <w:uiPriority w:val="1"/>
    <w:qFormat/>
    <w:rsid w:val="00b6145a"/>
    <w:rPr>
      <w:rFonts w:ascii="Times New Roman" w:hAnsi="Times New Roman" w:eastAsia="PMingLiU" w:cs="Times New Roman"/>
      <w:b/>
      <w:bCs/>
      <w:color w:val="FF0000"/>
      <w:sz w:val="22"/>
      <w:szCs w:val="22"/>
      <w:lang w:eastAsia="en-US"/>
    </w:rPr>
  </w:style>
  <w:style w:type="character" w:styleId="PlaceholderText">
    <w:name w:val="Placeholder Text"/>
    <w:basedOn w:val="DefaultParagraphFont"/>
    <w:uiPriority w:val="99"/>
    <w:unhideWhenUsed/>
    <w:qFormat/>
    <w:rsid w:val="004d15f5"/>
    <w:rPr>
      <w:color w:val="808080"/>
    </w:rPr>
  </w:style>
  <w:style w:type="character" w:styleId="Style15" w:customStyle="1">
    <w:name w:val="批注文字 字符"/>
    <w:basedOn w:val="DefaultParagraphFont"/>
    <w:link w:val="af"/>
    <w:uiPriority w:val="99"/>
    <w:qFormat/>
    <w:rsid w:val="00985bc6"/>
    <w:rPr>
      <w:rFonts w:ascii="Times New Roman" w:hAnsi="Times New Roman" w:eastAsia="宋体" w:cs="Times New Roman"/>
    </w:rPr>
  </w:style>
  <w:style w:type="character" w:styleId="Annotationreference">
    <w:name w:val="annotation reference"/>
    <w:uiPriority w:val="99"/>
    <w:semiHidden/>
    <w:unhideWhenUsed/>
    <w:qFormat/>
    <w:rsid w:val="00985bc6"/>
    <w:rPr>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autoRedefine/>
    <w:uiPriority w:val="1"/>
    <w:qFormat/>
    <w:rsid w:val="00b6145a"/>
    <w:pPr>
      <w:widowControl w:val="false"/>
      <w:snapToGrid w:val="false"/>
      <w:spacing w:before="312" w:after="156"/>
      <w:ind w:right="108" w:hanging="0"/>
      <w:jc w:val="left"/>
    </w:pPr>
    <w:rPr>
      <w:rFonts w:eastAsia="PMingLiU"/>
      <w:b/>
      <w:bCs/>
      <w:color w:val="FF0000"/>
      <w:szCs w:val="22"/>
      <w:shd w:fill="FFFFFF" w:val="clear"/>
      <w:lang w:eastAsia="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keepNext w:val="true"/>
      <w:spacing w:before="120" w:after="120"/>
      <w:jc w:val="center"/>
    </w:pPr>
    <w:rPr>
      <w:b/>
    </w:rPr>
  </w:style>
  <w:style w:type="paragraph" w:styleId="HeaderandFooter">
    <w:name w:val="Header and Footer"/>
    <w:basedOn w:val="Normal"/>
    <w:qFormat/>
    <w:pPr/>
    <w:rPr/>
  </w:style>
  <w:style w:type="paragraph" w:styleId="Footer">
    <w:name w:val="Footer"/>
    <w:basedOn w:val="Normal"/>
    <w:link w:val="a7"/>
    <w:uiPriority w:val="99"/>
    <w:unhideWhenUsed/>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a9"/>
    <w:uiPriority w:val="99"/>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autoRedefine/>
    <w:uiPriority w:val="99"/>
    <w:unhideWhenUsed/>
    <w:qFormat/>
    <w:pPr>
      <w:spacing w:beforeAutospacing="1" w:afterAutospacing="1"/>
      <w:jc w:val="left"/>
    </w:pPr>
    <w:rPr>
      <w:sz w:val="24"/>
      <w:szCs w:val="24"/>
    </w:rPr>
  </w:style>
  <w:style w:type="paragraph" w:styleId="Author" w:customStyle="1">
    <w:name w:val="author"/>
    <w:basedOn w:val="Heading2"/>
    <w:qFormat/>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420"/>
        <w:tab w:val="left" w:pos="4680" w:leader="none"/>
      </w:tabs>
      <w:spacing w:before="100" w:after="100"/>
    </w:pPr>
    <w:rPr/>
  </w:style>
  <w:style w:type="paragraph" w:styleId="ListParagraph">
    <w:name w:val="List Paragraph"/>
    <w:basedOn w:val="Normal"/>
    <w:uiPriority w:val="34"/>
    <w:qFormat/>
    <w:pPr>
      <w:ind w:firstLine="420"/>
    </w:pPr>
    <w:rPr/>
  </w:style>
  <w:style w:type="paragraph" w:styleId="Annotationtext">
    <w:name w:val="annotation text"/>
    <w:basedOn w:val="Normal"/>
    <w:link w:val="af0"/>
    <w:uiPriority w:val="99"/>
    <w:unhideWhenUsed/>
    <w:qFormat/>
    <w:rsid w:val="00985bc6"/>
    <w:pPr/>
    <w:rPr>
      <w:sz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Grilledutableau1">
    <w:name w:val="Grille du tableau1"/>
    <w:basedOn w:val="a1"/>
    <w:uiPriority w:val="39"/>
    <w:rsid w:val="00985bc6"/>
    <w:rPr>
      <w:lang w:val="fr-FR"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2">
    <w:name w:val="Table Grid"/>
    <w:basedOn w:val="a1"/>
    <w:uiPriority w:val="39"/>
    <w:qFormat/>
    <w:rsid w:val="00985b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header" Target="header3.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glossaryDocument" Target="glossary/document.xml"/><Relationship Id="rId50" Type="http://schemas.openxmlformats.org/officeDocument/2006/relationships/customXml" Target="../customXml/item1.xml"/><Relationship Id="rId51"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42.png"/>
</Relationships>
</file>

<file path=word/_rels/header3.xml.rels><?xml version="1.0" encoding="UTF-8"?>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85</TotalTime>
  <Application>LibreOffice/6.4.7.2$Linux_X86_64 LibreOffice_project/40$Build-2</Application>
  <Pages>20</Pages>
  <Words>6001</Words>
  <Characters>34827</Characters>
  <CharactersWithSpaces>41033</CharactersWithSpaces>
  <Paragraphs>319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2024-05-14T11:50:00Z</dcterms:created>
  <dc:creator>Zillah Zillah</dc:creator>
  <dc:description/>
  <dc:language>en-US</dc:language>
  <cp:lastModifiedBy/>
  <cp:lastPrinted>2022-01-07T06:24:00Z</cp:lastPrinted>
  <dcterms:modified xsi:type="dcterms:W3CDTF">2024-06-22T12:20:07Z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5dc6c726d212ea62b744259302d5ea0cb4b223b9792e0b5cdccf0d638d2a38a0</vt:lpwstr>
  </property>
  <property fmtid="{D5CDD505-2E9C-101B-9397-08002B2CF9AE}" pid="5" name="HyperlinksChanged">
    <vt:bool>0</vt:bool>
  </property>
  <property fmtid="{D5CDD505-2E9C-101B-9397-08002B2CF9AE}" pid="6" name="ICV">
    <vt:lpwstr>27F99DEBD0CE41D3819D2CC25F4E6165_12</vt:lpwstr>
  </property>
  <property fmtid="{D5CDD505-2E9C-101B-9397-08002B2CF9AE}" pid="7" name="KSOProductBuildVer">
    <vt:lpwstr>2052-12.1.0.16120</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